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DA7767" w14:textId="46845B3D" w:rsidR="00884E01" w:rsidRPr="00884E01" w:rsidRDefault="00884E01" w:rsidP="00884E01">
      <w:pPr>
        <w:jc w:val="center"/>
        <w:rPr>
          <w:rFonts w:ascii="Arial" w:hAnsi="Arial" w:cs="Arial"/>
          <w:b/>
          <w:sz w:val="28"/>
          <w:szCs w:val="32"/>
        </w:rPr>
      </w:pPr>
      <w:r w:rsidRPr="00884E01">
        <w:rPr>
          <w:rFonts w:ascii="Arial" w:hAnsi="Arial" w:cs="Arial"/>
          <w:b/>
          <w:sz w:val="28"/>
          <w:szCs w:val="32"/>
        </w:rPr>
        <w:t>Panasonic NN-GD38HS</w:t>
      </w:r>
      <w:bookmarkStart w:id="0" w:name="_GoBack"/>
      <w:bookmarkEnd w:id="0"/>
      <w:r w:rsidRPr="00884E01">
        <w:rPr>
          <w:rFonts w:ascii="Arial" w:hAnsi="Arial" w:cs="Arial"/>
          <w:b/>
          <w:sz w:val="28"/>
          <w:szCs w:val="32"/>
        </w:rPr>
        <w:t>: skutečně kreativní mikrovlnná trouba</w:t>
      </w:r>
    </w:p>
    <w:p w14:paraId="4E239FAE" w14:textId="77777777" w:rsidR="00884E01" w:rsidRPr="00884E01" w:rsidRDefault="00884E01" w:rsidP="00884E01">
      <w:pPr>
        <w:jc w:val="both"/>
        <w:rPr>
          <w:rFonts w:ascii="Arial" w:hAnsi="Arial" w:cs="Arial"/>
          <w:b/>
        </w:rPr>
      </w:pPr>
    </w:p>
    <w:p w14:paraId="47B1BA64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r w:rsidRPr="00884E01">
        <w:rPr>
          <w:rFonts w:ascii="Arial" w:hAnsi="Arial" w:cs="Arial"/>
          <w:b/>
          <w:sz w:val="22"/>
        </w:rPr>
        <w:t xml:space="preserve">Mikrovlnná trouba s grilem má v základní výbavě i unikátní nádobu </w:t>
      </w:r>
      <w:proofErr w:type="spellStart"/>
      <w:r w:rsidRPr="00884E01">
        <w:rPr>
          <w:rFonts w:ascii="Arial" w:hAnsi="Arial" w:cs="Arial"/>
          <w:b/>
          <w:sz w:val="22"/>
        </w:rPr>
        <w:t>Steam+Pan</w:t>
      </w:r>
      <w:proofErr w:type="spellEnd"/>
      <w:r w:rsidRPr="00884E01">
        <w:rPr>
          <w:rFonts w:ascii="Arial" w:hAnsi="Arial" w:cs="Arial"/>
          <w:b/>
          <w:sz w:val="22"/>
        </w:rPr>
        <w:t xml:space="preserve"> s nerezovým povrchem. Svoji fantazii při přípravě jídel v tomto modelu tak nemusíte ničím omezovat.</w:t>
      </w:r>
    </w:p>
    <w:p w14:paraId="0848628D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</w:p>
    <w:p w14:paraId="5BF974FE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proofErr w:type="spellStart"/>
      <w:r w:rsidRPr="00884E01">
        <w:rPr>
          <w:rFonts w:ascii="Arial" w:hAnsi="Arial" w:cs="Arial"/>
          <w:b/>
          <w:sz w:val="22"/>
        </w:rPr>
        <w:t>Inverter</w:t>
      </w:r>
      <w:proofErr w:type="spellEnd"/>
      <w:r w:rsidRPr="00884E01">
        <w:rPr>
          <w:rFonts w:ascii="Arial" w:hAnsi="Arial" w:cs="Arial"/>
          <w:b/>
          <w:sz w:val="22"/>
        </w:rPr>
        <w:t xml:space="preserve"> pro rovnoměrnou a rychlou úpravu pokrmů</w:t>
      </w:r>
    </w:p>
    <w:p w14:paraId="0C0A0FD7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r w:rsidRPr="00884E01">
        <w:rPr>
          <w:rFonts w:ascii="Arial" w:hAnsi="Arial" w:cs="Arial"/>
          <w:b/>
          <w:sz w:val="22"/>
        </w:rPr>
        <w:t>Mikrovlnná trouba s grilem Panasonic NN-GD38HS</w:t>
      </w:r>
      <w:r w:rsidRPr="00884E01">
        <w:rPr>
          <w:rFonts w:ascii="Arial" w:hAnsi="Arial" w:cs="Arial"/>
          <w:sz w:val="22"/>
        </w:rPr>
        <w:t xml:space="preserve"> s objemem 23 litrů využívá jako všechny kombinované modely mikrovlnek Panasonic </w:t>
      </w:r>
      <w:proofErr w:type="spellStart"/>
      <w:r w:rsidRPr="00884E01">
        <w:rPr>
          <w:rFonts w:ascii="Arial" w:hAnsi="Arial" w:cs="Arial"/>
          <w:b/>
          <w:sz w:val="22"/>
        </w:rPr>
        <w:t>inverterovou</w:t>
      </w:r>
      <w:proofErr w:type="spellEnd"/>
      <w:r w:rsidRPr="00884E01">
        <w:rPr>
          <w:rFonts w:ascii="Arial" w:hAnsi="Arial" w:cs="Arial"/>
          <w:b/>
          <w:sz w:val="22"/>
        </w:rPr>
        <w:t xml:space="preserve"> technologii</w:t>
      </w:r>
      <w:r w:rsidRPr="00884E01">
        <w:rPr>
          <w:rFonts w:ascii="Arial" w:hAnsi="Arial" w:cs="Arial"/>
          <w:sz w:val="22"/>
        </w:rPr>
        <w:t xml:space="preserve">, díky které je jídlo vždy připravené rovnoměrně na povrchu i uprostřed. To stejné platí i pro funkci rozmrazování a ohřevu. Zatímco běžné mikrovlnné trouby se opakovaně zapínají a vypínají během provozu na maximální výkon, technologie </w:t>
      </w:r>
      <w:proofErr w:type="spellStart"/>
      <w:r w:rsidRPr="00884E01">
        <w:rPr>
          <w:rFonts w:ascii="Arial" w:hAnsi="Arial" w:cs="Arial"/>
          <w:sz w:val="22"/>
        </w:rPr>
        <w:t>inverteru</w:t>
      </w:r>
      <w:proofErr w:type="spellEnd"/>
      <w:r w:rsidRPr="00884E01">
        <w:rPr>
          <w:rFonts w:ascii="Arial" w:hAnsi="Arial" w:cs="Arial"/>
          <w:sz w:val="22"/>
        </w:rPr>
        <w:t xml:space="preserve"> udržuje stále jeho optimální úroveň.</w:t>
      </w:r>
    </w:p>
    <w:p w14:paraId="790E5D3B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</w:p>
    <w:p w14:paraId="371B8E21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r w:rsidRPr="00884E01">
        <w:rPr>
          <w:rFonts w:ascii="Arial" w:hAnsi="Arial" w:cs="Arial"/>
          <w:b/>
          <w:sz w:val="22"/>
        </w:rPr>
        <w:t>Křupavé na povrchu, šťavnaté uvnitř</w:t>
      </w:r>
    </w:p>
    <w:p w14:paraId="37285ED5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r w:rsidRPr="00884E01">
        <w:rPr>
          <w:rFonts w:ascii="Arial" w:hAnsi="Arial" w:cs="Arial"/>
          <w:sz w:val="22"/>
        </w:rPr>
        <w:t xml:space="preserve">Kombinací vaření a grilování dosáhnete perfektních výsledků v krátkém čase. Zatímco díky technologii </w:t>
      </w:r>
      <w:proofErr w:type="spellStart"/>
      <w:r w:rsidRPr="00884E01">
        <w:rPr>
          <w:rFonts w:ascii="Arial" w:hAnsi="Arial" w:cs="Arial"/>
          <w:sz w:val="22"/>
        </w:rPr>
        <w:t>inverteru</w:t>
      </w:r>
      <w:proofErr w:type="spellEnd"/>
      <w:r w:rsidRPr="00884E01">
        <w:rPr>
          <w:rFonts w:ascii="Arial" w:hAnsi="Arial" w:cs="Arial"/>
          <w:sz w:val="22"/>
        </w:rPr>
        <w:t xml:space="preserve"> se potraviny rychle uvaří, gril se postará o dozlatova upečený křupavý povrch. Obě funkce pracují současně, takže je výsledná doba přípravy pokrmu kratší. Technologie </w:t>
      </w:r>
      <w:proofErr w:type="spellStart"/>
      <w:r w:rsidRPr="00884E01">
        <w:rPr>
          <w:rFonts w:ascii="Arial" w:hAnsi="Arial" w:cs="Arial"/>
          <w:sz w:val="22"/>
        </w:rPr>
        <w:t>inverteru</w:t>
      </w:r>
      <w:proofErr w:type="spellEnd"/>
      <w:r w:rsidRPr="00884E01">
        <w:rPr>
          <w:rFonts w:ascii="Arial" w:hAnsi="Arial" w:cs="Arial"/>
          <w:sz w:val="22"/>
        </w:rPr>
        <w:t xml:space="preserve"> zároveň umožňuje i použití mikrovln.</w:t>
      </w:r>
    </w:p>
    <w:p w14:paraId="22CAD8DD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</w:p>
    <w:p w14:paraId="5AEE54B3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r w:rsidRPr="00884E01">
        <w:rPr>
          <w:rFonts w:ascii="Arial" w:hAnsi="Arial" w:cs="Arial"/>
          <w:b/>
          <w:sz w:val="22"/>
        </w:rPr>
        <w:t>Programovaní jedním tlačítkem</w:t>
      </w:r>
    </w:p>
    <w:p w14:paraId="04343CA2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bookmarkStart w:id="1" w:name="_Hlk527029218"/>
      <w:r w:rsidRPr="00884E01">
        <w:rPr>
          <w:rFonts w:ascii="Arial" w:hAnsi="Arial" w:cs="Arial"/>
          <w:sz w:val="22"/>
        </w:rPr>
        <w:t xml:space="preserve">Panasonic NN-GD38HS </w:t>
      </w:r>
      <w:bookmarkEnd w:id="1"/>
      <w:r w:rsidRPr="00884E01">
        <w:rPr>
          <w:rFonts w:ascii="Arial" w:hAnsi="Arial" w:cs="Arial"/>
          <w:sz w:val="22"/>
        </w:rPr>
        <w:t>je vybavený 17 automatickými režimy, takže se bez obav můžete pustit prakticky do jakéhokoliv receptu. Vestavěný snímač automaticky vybere úroveň výkonu a doporučený čas vaření. Díky časovači je možné si vaření naplánovat na libovolnou hodinu.</w:t>
      </w:r>
    </w:p>
    <w:p w14:paraId="6306D204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</w:p>
    <w:p w14:paraId="17B3C204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r w:rsidRPr="00884E01">
        <w:rPr>
          <w:rFonts w:ascii="Arial" w:hAnsi="Arial" w:cs="Arial"/>
          <w:b/>
          <w:sz w:val="22"/>
        </w:rPr>
        <w:t>Speciální příslušenství</w:t>
      </w:r>
    </w:p>
    <w:p w14:paraId="6626CFC5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r w:rsidRPr="00884E01">
        <w:rPr>
          <w:rFonts w:ascii="Arial" w:hAnsi="Arial" w:cs="Arial"/>
          <w:sz w:val="22"/>
        </w:rPr>
        <w:t xml:space="preserve">Mikrovlnná trouba má v základní výbavě doplněk v podobě </w:t>
      </w:r>
      <w:r w:rsidRPr="00884E01">
        <w:rPr>
          <w:rFonts w:ascii="Arial" w:hAnsi="Arial" w:cs="Arial"/>
          <w:b/>
          <w:sz w:val="22"/>
        </w:rPr>
        <w:t xml:space="preserve">nádoby </w:t>
      </w:r>
      <w:proofErr w:type="spellStart"/>
      <w:r w:rsidRPr="00884E01">
        <w:rPr>
          <w:rFonts w:ascii="Arial" w:hAnsi="Arial" w:cs="Arial"/>
          <w:b/>
          <w:sz w:val="22"/>
        </w:rPr>
        <w:t>Steam+Pan</w:t>
      </w:r>
      <w:proofErr w:type="spellEnd"/>
      <w:r w:rsidRPr="00884E01">
        <w:rPr>
          <w:rFonts w:ascii="Arial" w:hAnsi="Arial" w:cs="Arial"/>
          <w:sz w:val="22"/>
        </w:rPr>
        <w:t xml:space="preserve"> s napařovacím podnosem a nerezovou pokrývkou. Když nádobu použijete i s poklopem, vaše jídlo bude dokonale uvařené v páře. Při použití pouze spodní části nádoby pokrm ugrilujete nebo upečete do křupava.</w:t>
      </w:r>
    </w:p>
    <w:p w14:paraId="79FD9ADE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</w:p>
    <w:p w14:paraId="112B42D8" w14:textId="77777777" w:rsidR="00884E01" w:rsidRPr="00884E01" w:rsidRDefault="00884E01" w:rsidP="00884E01">
      <w:pPr>
        <w:jc w:val="both"/>
        <w:rPr>
          <w:rFonts w:ascii="Arial" w:hAnsi="Arial" w:cs="Arial"/>
          <w:b/>
          <w:sz w:val="22"/>
        </w:rPr>
      </w:pPr>
      <w:r w:rsidRPr="00884E01">
        <w:rPr>
          <w:rFonts w:ascii="Arial" w:hAnsi="Arial" w:cs="Arial"/>
          <w:b/>
          <w:sz w:val="22"/>
        </w:rPr>
        <w:t>Když jde o čas</w:t>
      </w:r>
    </w:p>
    <w:p w14:paraId="43B00640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r w:rsidRPr="00884E01">
        <w:rPr>
          <w:rFonts w:ascii="Arial" w:hAnsi="Arial" w:cs="Arial"/>
          <w:sz w:val="22"/>
        </w:rPr>
        <w:t xml:space="preserve">Čas při přípravě jídel setří i další funkce. Funkce </w:t>
      </w:r>
      <w:proofErr w:type="spellStart"/>
      <w:r w:rsidRPr="00884E01">
        <w:rPr>
          <w:rFonts w:ascii="Arial" w:hAnsi="Arial" w:cs="Arial"/>
          <w:sz w:val="22"/>
        </w:rPr>
        <w:t>Quick</w:t>
      </w:r>
      <w:proofErr w:type="spellEnd"/>
      <w:r w:rsidRPr="00884E01">
        <w:rPr>
          <w:rFonts w:ascii="Arial" w:hAnsi="Arial" w:cs="Arial"/>
          <w:sz w:val="22"/>
        </w:rPr>
        <w:t xml:space="preserve"> 30 umožňuje jednoduchou a rychlou přípravu jídel za půl minuty. Další funkce </w:t>
      </w:r>
      <w:proofErr w:type="spellStart"/>
      <w:r w:rsidRPr="00884E01">
        <w:rPr>
          <w:rFonts w:ascii="Arial" w:hAnsi="Arial" w:cs="Arial"/>
          <w:sz w:val="22"/>
        </w:rPr>
        <w:t>Add</w:t>
      </w:r>
      <w:proofErr w:type="spellEnd"/>
      <w:r w:rsidRPr="00884E01">
        <w:rPr>
          <w:rFonts w:ascii="Arial" w:hAnsi="Arial" w:cs="Arial"/>
          <w:sz w:val="22"/>
        </w:rPr>
        <w:t xml:space="preserve"> </w:t>
      </w:r>
      <w:proofErr w:type="spellStart"/>
      <w:r w:rsidRPr="00884E01">
        <w:rPr>
          <w:rFonts w:ascii="Arial" w:hAnsi="Arial" w:cs="Arial"/>
          <w:sz w:val="22"/>
        </w:rPr>
        <w:t>Time</w:t>
      </w:r>
      <w:proofErr w:type="spellEnd"/>
      <w:r w:rsidRPr="00884E01">
        <w:rPr>
          <w:rFonts w:ascii="Arial" w:hAnsi="Arial" w:cs="Arial"/>
          <w:sz w:val="22"/>
        </w:rPr>
        <w:t xml:space="preserve"> vám zase při vaření uvolní ruce. Pokud čas nastavený automatikou nestačí a vy chcete nechat jídlo v troubě o trochu déle, tato funkce umožní přidat libovolné množství času předem, ne až po vypršení automaticky nastavené doby.</w:t>
      </w:r>
    </w:p>
    <w:p w14:paraId="52EC9E6A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</w:p>
    <w:p w14:paraId="5A862831" w14:textId="77777777" w:rsidR="00884E01" w:rsidRPr="00884E01" w:rsidRDefault="00884E01" w:rsidP="00884E01">
      <w:pPr>
        <w:jc w:val="both"/>
        <w:rPr>
          <w:rFonts w:ascii="Arial" w:hAnsi="Arial" w:cs="Arial"/>
          <w:sz w:val="22"/>
        </w:rPr>
      </w:pPr>
      <w:r w:rsidRPr="00884E01">
        <w:rPr>
          <w:rFonts w:ascii="Arial" w:hAnsi="Arial" w:cs="Arial"/>
          <w:sz w:val="22"/>
        </w:rPr>
        <w:t>Panasonic NN-GD38HS je k dostání za 5 799 Kč.</w:t>
      </w:r>
    </w:p>
    <w:p w14:paraId="68FA6D5E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7DE48F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4BE2FF50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07ED8B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2D859750" w14:textId="5E6980CB" w:rsidR="002C52A0" w:rsidRPr="005A5C28" w:rsidRDefault="002C52A0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  <w:r w:rsidRPr="005A5C28">
        <w:rPr>
          <w:rFonts w:ascii="Arial" w:hAnsi="Arial" w:cs="Arial"/>
          <w:b/>
          <w:color w:val="A6A6A6"/>
          <w:sz w:val="20"/>
          <w:u w:val="single"/>
        </w:rPr>
        <w:t>O společnosti Panasonic</w:t>
      </w:r>
    </w:p>
    <w:p w14:paraId="790AB425" w14:textId="77777777" w:rsidR="002C52A0" w:rsidRPr="005A5C28" w:rsidRDefault="002C52A0" w:rsidP="002C52A0">
      <w:pPr>
        <w:spacing w:line="276" w:lineRule="auto"/>
        <w:jc w:val="both"/>
        <w:rPr>
          <w:rFonts w:ascii="Arial" w:hAnsi="Arial" w:cs="Arial"/>
          <w:color w:val="A6A6A6"/>
          <w:sz w:val="20"/>
        </w:rPr>
      </w:pPr>
    </w:p>
    <w:p w14:paraId="2AADF8B6" w14:textId="77777777" w:rsidR="002C52A0" w:rsidRPr="00107FC7" w:rsidRDefault="002C52A0" w:rsidP="002C52A0">
      <w:pPr>
        <w:spacing w:line="276" w:lineRule="auto"/>
        <w:jc w:val="both"/>
        <w:rPr>
          <w:rStyle w:val="Hyperlink1"/>
          <w:rFonts w:ascii="Arial" w:hAnsi="Arial" w:cs="Arial"/>
          <w:color w:val="A6A6A6"/>
          <w:sz w:val="20"/>
        </w:rPr>
      </w:pPr>
      <w:r w:rsidRPr="00551821">
        <w:rPr>
          <w:rFonts w:ascii="Arial" w:hAnsi="Arial" w:cs="Arial"/>
          <w:color w:val="A6A6A6"/>
          <w:sz w:val="20"/>
        </w:rPr>
        <w:t xml:space="preserve">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celosvětovým lídrem v rozvoji elektronických technologií a řešení pro zákazníky v odvětví spotřební elektroniky, bydlení, automobilovém průmyslu a podnikových řešeních. V roce 2018 slaví společnost sté výročí založení, od té doby roste v globálním měřítku. V současnosti má po celém světě 591 dceřiných společností a 88 přidružených společností, které za finanční rok končící 31. březnem 2018 zaznamenaly konsolidované čisté tržby ve výši 61,4 miliard Euro. Hlavním cílem 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vytvářet nové hodnoty prostřednictvím inovací v různých oborech a využívání svých technologií k zajištění lepšího života a lepšího světa pro své zákazníky. Chcete-li se o skupině Panasonic dozvědět více, navštivte </w:t>
      </w:r>
      <w:hyperlink r:id="rId8" w:history="1">
        <w:r w:rsidRPr="00FF3357">
          <w:rPr>
            <w:rStyle w:val="Hypertextovodkaz"/>
            <w:rFonts w:ascii="Arial" w:hAnsi="Arial" w:cs="Arial"/>
            <w:sz w:val="20"/>
          </w:rPr>
          <w:t>http://www.panasonic.com/global</w:t>
        </w:r>
      </w:hyperlink>
      <w:r>
        <w:rPr>
          <w:rFonts w:ascii="Arial" w:hAnsi="Arial" w:cs="Arial"/>
          <w:color w:val="A6A6A6"/>
          <w:sz w:val="20"/>
        </w:rPr>
        <w:t>.</w:t>
      </w:r>
    </w:p>
    <w:p w14:paraId="6F2B2EF6" w14:textId="77777777" w:rsidR="001701C1" w:rsidRPr="001701C1" w:rsidRDefault="001701C1">
      <w:pPr>
        <w:rPr>
          <w:rFonts w:ascii="Arial" w:hAnsi="Arial" w:cs="Arial Unicode MS"/>
          <w:b/>
          <w:bCs/>
          <w:color w:val="000000"/>
          <w:sz w:val="28"/>
          <w:szCs w:val="28"/>
          <w:u w:color="000000"/>
          <w:lang w:eastAsia="ja-JP"/>
        </w:rPr>
      </w:pPr>
    </w:p>
    <w:sectPr w:rsidR="001701C1" w:rsidRPr="001701C1" w:rsidSect="00D344E9">
      <w:headerReference w:type="default" r:id="rId9"/>
      <w:footerReference w:type="default" r:id="rId10"/>
      <w:pgSz w:w="11900" w:h="16840"/>
      <w:pgMar w:top="2268" w:right="1134" w:bottom="1701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16C0A" w14:textId="77777777" w:rsidR="005A1501" w:rsidRDefault="005A1501">
      <w:r>
        <w:separator/>
      </w:r>
    </w:p>
  </w:endnote>
  <w:endnote w:type="continuationSeparator" w:id="0">
    <w:p w14:paraId="18B9E7EB" w14:textId="77777777" w:rsidR="005A1501" w:rsidRDefault="005A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C1C" w14:textId="77777777" w:rsidR="00781868" w:rsidRDefault="00781868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fldChar w:fldCharType="begin"/>
    </w:r>
    <w:r>
      <w:instrText xml:space="preserve"> PAGE </w:instrText>
    </w:r>
    <w:r>
      <w:fldChar w:fldCharType="separate"/>
    </w:r>
    <w:r w:rsidR="00413B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7AB5E" w14:textId="77777777" w:rsidR="005A1501" w:rsidRDefault="005A1501">
      <w:r>
        <w:separator/>
      </w:r>
    </w:p>
  </w:footnote>
  <w:footnote w:type="continuationSeparator" w:id="0">
    <w:p w14:paraId="0F9AFC01" w14:textId="77777777" w:rsidR="005A1501" w:rsidRDefault="005A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AF71" w14:textId="77777777" w:rsidR="00781868" w:rsidRDefault="00413B59">
    <w:pPr>
      <w:pStyle w:val="Body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  <w:lang w:eastAsia="en-US"/>
      </w:rPr>
      <w:drawing>
        <wp:anchor distT="152400" distB="152400" distL="152400" distR="152400" simplePos="0" relativeHeight="251657216" behindDoc="1" locked="0" layoutInCell="1" allowOverlap="1" wp14:anchorId="1239737D" wp14:editId="4110368F">
          <wp:simplePos x="0" y="0"/>
          <wp:positionH relativeFrom="page">
            <wp:posOffset>266065</wp:posOffset>
          </wp:positionH>
          <wp:positionV relativeFrom="page">
            <wp:posOffset>449580</wp:posOffset>
          </wp:positionV>
          <wp:extent cx="1764030" cy="333375"/>
          <wp:effectExtent l="0" t="0" r="7620" b="9525"/>
          <wp:wrapNone/>
          <wp:docPr id="2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609F5FA" wp14:editId="672E2C1E">
          <wp:simplePos x="0" y="0"/>
          <wp:positionH relativeFrom="page">
            <wp:posOffset>-95250</wp:posOffset>
          </wp:positionH>
          <wp:positionV relativeFrom="page">
            <wp:posOffset>969010</wp:posOffset>
          </wp:positionV>
          <wp:extent cx="7752080" cy="8912225"/>
          <wp:effectExtent l="19050" t="19050" r="20320" b="22225"/>
          <wp:wrapNone/>
          <wp:docPr id="1" name="Picture 1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8912225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4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429"/>
    <w:multiLevelType w:val="hybridMultilevel"/>
    <w:tmpl w:val="F5647EC4"/>
    <w:numStyleLink w:val="ImportedStyle2"/>
  </w:abstractNum>
  <w:abstractNum w:abstractNumId="1" w15:restartNumberingAfterBreak="0">
    <w:nsid w:val="26C345E3"/>
    <w:multiLevelType w:val="hybridMultilevel"/>
    <w:tmpl w:val="9E9C575A"/>
    <w:styleLink w:val="Numbered"/>
    <w:lvl w:ilvl="0" w:tplc="933CC9C6">
      <w:start w:val="1"/>
      <w:numFmt w:val="decimal"/>
      <w:lvlText w:val="%1."/>
      <w:lvlJc w:val="left"/>
      <w:pPr>
        <w:ind w:left="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C21428">
      <w:start w:val="1"/>
      <w:numFmt w:val="decimal"/>
      <w:lvlText w:val="%2."/>
      <w:lvlJc w:val="left"/>
      <w:pPr>
        <w:ind w:left="1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6A7EC">
      <w:start w:val="1"/>
      <w:numFmt w:val="decimal"/>
      <w:lvlText w:val="%3."/>
      <w:lvlJc w:val="left"/>
      <w:pPr>
        <w:ind w:left="1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F66916">
      <w:start w:val="1"/>
      <w:numFmt w:val="decimal"/>
      <w:lvlText w:val="%4."/>
      <w:lvlJc w:val="left"/>
      <w:pPr>
        <w:ind w:left="2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86246">
      <w:start w:val="1"/>
      <w:numFmt w:val="decimal"/>
      <w:lvlText w:val="%5."/>
      <w:lvlJc w:val="left"/>
      <w:pPr>
        <w:ind w:left="34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458AA">
      <w:start w:val="1"/>
      <w:numFmt w:val="decimal"/>
      <w:lvlText w:val="%6."/>
      <w:lvlJc w:val="left"/>
      <w:pPr>
        <w:ind w:left="4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D05E76">
      <w:start w:val="1"/>
      <w:numFmt w:val="decimal"/>
      <w:lvlText w:val="%7."/>
      <w:lvlJc w:val="left"/>
      <w:pPr>
        <w:ind w:left="5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74A35C">
      <w:start w:val="1"/>
      <w:numFmt w:val="decimal"/>
      <w:lvlText w:val="%8."/>
      <w:lvlJc w:val="left"/>
      <w:pPr>
        <w:ind w:left="5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4A1F6">
      <w:start w:val="1"/>
      <w:numFmt w:val="decimal"/>
      <w:lvlText w:val="%9."/>
      <w:lvlJc w:val="left"/>
      <w:pPr>
        <w:ind w:left="6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7C64D1"/>
    <w:multiLevelType w:val="hybridMultilevel"/>
    <w:tmpl w:val="F5647EC4"/>
    <w:styleLink w:val="ImportedStyle2"/>
    <w:lvl w:ilvl="0" w:tplc="93CA215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AB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665F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EA7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5287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D48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9AA6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727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B8049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FA903B9"/>
    <w:multiLevelType w:val="hybridMultilevel"/>
    <w:tmpl w:val="179AF0D4"/>
    <w:styleLink w:val="Bullets"/>
    <w:lvl w:ilvl="0" w:tplc="BC30059C">
      <w:start w:val="1"/>
      <w:numFmt w:val="bullet"/>
      <w:lvlText w:val="-"/>
      <w:lvlJc w:val="left"/>
      <w:pPr>
        <w:ind w:left="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10D390">
      <w:start w:val="1"/>
      <w:numFmt w:val="bullet"/>
      <w:lvlText w:val="-"/>
      <w:lvlJc w:val="left"/>
      <w:pPr>
        <w:ind w:left="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AD000">
      <w:start w:val="1"/>
      <w:numFmt w:val="bullet"/>
      <w:lvlText w:val="-"/>
      <w:lvlJc w:val="left"/>
      <w:pPr>
        <w:ind w:left="1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CA8F5E">
      <w:start w:val="1"/>
      <w:numFmt w:val="bullet"/>
      <w:lvlText w:val="-"/>
      <w:lvlJc w:val="left"/>
      <w:pPr>
        <w:ind w:left="1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5EADB0">
      <w:start w:val="1"/>
      <w:numFmt w:val="bullet"/>
      <w:lvlText w:val="-"/>
      <w:lvlJc w:val="left"/>
      <w:pPr>
        <w:ind w:left="25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69A3C">
      <w:start w:val="1"/>
      <w:numFmt w:val="bullet"/>
      <w:lvlText w:val="-"/>
      <w:lvlJc w:val="left"/>
      <w:pPr>
        <w:ind w:left="3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0CD272">
      <w:start w:val="1"/>
      <w:numFmt w:val="bullet"/>
      <w:lvlText w:val="-"/>
      <w:lvlJc w:val="left"/>
      <w:pPr>
        <w:ind w:left="3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0E0674">
      <w:start w:val="1"/>
      <w:numFmt w:val="bullet"/>
      <w:lvlText w:val="-"/>
      <w:lvlJc w:val="left"/>
      <w:pPr>
        <w:ind w:left="4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6B64A">
      <w:start w:val="1"/>
      <w:numFmt w:val="bullet"/>
      <w:lvlText w:val="-"/>
      <w:lvlJc w:val="left"/>
      <w:pPr>
        <w:ind w:left="4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A1B83"/>
    <w:multiLevelType w:val="hybridMultilevel"/>
    <w:tmpl w:val="1D268252"/>
    <w:lvl w:ilvl="0" w:tplc="ACC6B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5580"/>
    <w:multiLevelType w:val="hybridMultilevel"/>
    <w:tmpl w:val="179AF0D4"/>
    <w:numStyleLink w:val="Bullets"/>
  </w:abstractNum>
  <w:abstractNum w:abstractNumId="6" w15:restartNumberingAfterBreak="0">
    <w:nsid w:val="62AA4F22"/>
    <w:multiLevelType w:val="hybridMultilevel"/>
    <w:tmpl w:val="9E9C575A"/>
    <w:numStyleLink w:val="Numbered"/>
  </w:abstractNum>
  <w:abstractNum w:abstractNumId="7" w15:restartNumberingAfterBreak="0">
    <w:nsid w:val="67BC5658"/>
    <w:multiLevelType w:val="multilevel"/>
    <w:tmpl w:val="582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EB10DC"/>
    <w:multiLevelType w:val="hybridMultilevel"/>
    <w:tmpl w:val="9BFA3010"/>
    <w:lvl w:ilvl="0" w:tplc="11C639D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20"/>
    <w:rsid w:val="00064F1C"/>
    <w:rsid w:val="000964CE"/>
    <w:rsid w:val="00102EB4"/>
    <w:rsid w:val="001701C1"/>
    <w:rsid w:val="001742B2"/>
    <w:rsid w:val="001B44A1"/>
    <w:rsid w:val="00213570"/>
    <w:rsid w:val="00251679"/>
    <w:rsid w:val="00273EE0"/>
    <w:rsid w:val="002845AA"/>
    <w:rsid w:val="002C52A0"/>
    <w:rsid w:val="002C7F9D"/>
    <w:rsid w:val="002D4552"/>
    <w:rsid w:val="002E4413"/>
    <w:rsid w:val="00305E97"/>
    <w:rsid w:val="00325461"/>
    <w:rsid w:val="00344CF4"/>
    <w:rsid w:val="00362A5A"/>
    <w:rsid w:val="00392E5F"/>
    <w:rsid w:val="003E106D"/>
    <w:rsid w:val="003E595F"/>
    <w:rsid w:val="003F53AB"/>
    <w:rsid w:val="00413B59"/>
    <w:rsid w:val="004344AB"/>
    <w:rsid w:val="005A08D9"/>
    <w:rsid w:val="005A1501"/>
    <w:rsid w:val="00616BBD"/>
    <w:rsid w:val="006832E1"/>
    <w:rsid w:val="006E2E1A"/>
    <w:rsid w:val="007203C1"/>
    <w:rsid w:val="00751329"/>
    <w:rsid w:val="00760DE2"/>
    <w:rsid w:val="00781868"/>
    <w:rsid w:val="007A7EAD"/>
    <w:rsid w:val="008173A0"/>
    <w:rsid w:val="008216D9"/>
    <w:rsid w:val="0085700C"/>
    <w:rsid w:val="00874ECF"/>
    <w:rsid w:val="00884E01"/>
    <w:rsid w:val="00895644"/>
    <w:rsid w:val="008B1D78"/>
    <w:rsid w:val="00901D20"/>
    <w:rsid w:val="009345AB"/>
    <w:rsid w:val="009C465B"/>
    <w:rsid w:val="009D47A9"/>
    <w:rsid w:val="00A15D4B"/>
    <w:rsid w:val="00AA3DE7"/>
    <w:rsid w:val="00B43C46"/>
    <w:rsid w:val="00B7753F"/>
    <w:rsid w:val="00BC26AB"/>
    <w:rsid w:val="00BF1D13"/>
    <w:rsid w:val="00C469D4"/>
    <w:rsid w:val="00C6231D"/>
    <w:rsid w:val="00C85949"/>
    <w:rsid w:val="00D344E9"/>
    <w:rsid w:val="00D55F1A"/>
    <w:rsid w:val="00DC4BD5"/>
    <w:rsid w:val="00E52AC1"/>
    <w:rsid w:val="00EA41B1"/>
    <w:rsid w:val="00EC6429"/>
    <w:rsid w:val="00EE7859"/>
    <w:rsid w:val="00F31689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C4D92"/>
  <w15:chartTrackingRefBased/>
  <w15:docId w15:val="{2DA7E99D-7C25-A845-964A-32731D04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2B2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84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BodyA"/>
    <w:qFormat/>
    <w:rsid w:val="00D344E9"/>
    <w:pPr>
      <w:pBdr>
        <w:bottom w:val="single" w:sz="4" w:space="0" w:color="000000"/>
      </w:pBdr>
      <w:spacing w:after="200" w:line="276" w:lineRule="auto"/>
      <w:outlineLvl w:val="2"/>
    </w:pPr>
    <w:rPr>
      <w:rFonts w:ascii="Arial" w:hAnsi="Arial" w:cs="Arial Unicode MS"/>
      <w:b/>
      <w:bCs/>
      <w:color w:val="000000"/>
      <w:sz w:val="28"/>
      <w:szCs w:val="28"/>
      <w:u w:color="000000"/>
      <w:lang w:val="fr-FR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344E9"/>
    <w:rPr>
      <w:u w:val="single"/>
    </w:rPr>
  </w:style>
  <w:style w:type="paragraph" w:customStyle="1" w:styleId="BodyA">
    <w:name w:val="Body A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paragraph" w:styleId="Zpat">
    <w:name w:val="footer"/>
    <w:basedOn w:val="Normln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Arial" w:hAnsi="Arial" w:cs="Arial Unicode MS"/>
      <w:color w:val="000000"/>
      <w:sz w:val="22"/>
      <w:szCs w:val="22"/>
      <w:u w:color="000000"/>
      <w:lang w:val="en-US" w:eastAsia="ja-JP"/>
    </w:rPr>
  </w:style>
  <w:style w:type="paragraph" w:customStyle="1" w:styleId="Embargo">
    <w:name w:val="Embargo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76" w:lineRule="auto"/>
      <w:jc w:val="center"/>
    </w:pPr>
    <w:rPr>
      <w:rFonts w:ascii="Arial" w:eastAsia="Times New Roman" w:hAnsi="Arial" w:cs="Arial Unicode MS"/>
      <w:b/>
      <w:bCs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Times New Roman" w:hAnsi="Helvetica Neue" w:cs="Helvetica Neue"/>
      <w:color w:val="000000"/>
      <w:sz w:val="22"/>
      <w:szCs w:val="22"/>
      <w:lang w:val="en-GB" w:eastAsia="ja-JP"/>
    </w:rPr>
  </w:style>
  <w:style w:type="paragraph" w:customStyle="1" w:styleId="ListParagraph1">
    <w:name w:val="List Paragraph1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120" w:line="276" w:lineRule="auto"/>
      <w:ind w:right="284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character" w:styleId="Siln">
    <w:name w:val="Strong"/>
    <w:basedOn w:val="Standardnpsmoodstavce"/>
    <w:qFormat/>
    <w:rsid w:val="00D344E9"/>
    <w:rPr>
      <w:rFonts w:ascii="Arial" w:eastAsia="Times New Roman" w:hAnsi="Arial"/>
      <w:b/>
    </w:rPr>
  </w:style>
  <w:style w:type="paragraph" w:customStyle="1" w:styleId="Body">
    <w:name w:val="Body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Times New Roman" w:cs="Arial Unicode MS"/>
      <w:color w:val="000000"/>
      <w:sz w:val="24"/>
      <w:szCs w:val="24"/>
      <w:u w:color="000000"/>
      <w:lang w:val="en-GB" w:eastAsia="ja-JP"/>
    </w:rPr>
  </w:style>
  <w:style w:type="paragraph" w:customStyle="1" w:styleId="Footnote">
    <w:name w:val="Footnote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92"/>
      </w:tabs>
    </w:pPr>
    <w:rPr>
      <w:rFonts w:ascii="Arial" w:eastAsia="Times New Roman" w:hAnsi="Arial" w:cs="Arial Unicode MS"/>
      <w:color w:val="808080"/>
      <w:sz w:val="18"/>
      <w:szCs w:val="18"/>
      <w:u w:color="808080"/>
      <w:lang w:val="en-US" w:eastAsia="ja-JP"/>
    </w:rPr>
  </w:style>
  <w:style w:type="character" w:customStyle="1" w:styleId="None">
    <w:name w:val="None"/>
    <w:rsid w:val="00D344E9"/>
  </w:style>
  <w:style w:type="character" w:customStyle="1" w:styleId="Hyperlink0">
    <w:name w:val="Hyperlink.0"/>
    <w:basedOn w:val="None"/>
    <w:rsid w:val="00D344E9"/>
    <w:rPr>
      <w:rFonts w:ascii="Arial" w:eastAsia="Times New Roman" w:hAnsi="Arial" w:cs="Arial"/>
      <w:color w:val="0041C0"/>
      <w:u w:val="single" w:color="0041C0"/>
      <w:lang w:val="en-US" w:eastAsia="x-none"/>
    </w:rPr>
  </w:style>
  <w:style w:type="paragraph" w:styleId="Textkomente">
    <w:name w:val="annotation text"/>
    <w:basedOn w:val="Normln"/>
    <w:link w:val="TextkomenteChar"/>
    <w:semiHidden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D344E9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semiHidden/>
    <w:rsid w:val="00D344E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6832E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832E1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C7F9D"/>
    <w:rPr>
      <w:b/>
      <w:bCs/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2C7F9D"/>
    <w:rPr>
      <w:rFonts w:cs="Times New Roman"/>
      <w:b/>
      <w:bCs/>
      <w:sz w:val="24"/>
      <w:szCs w:val="24"/>
      <w:lang w:val="en-US" w:eastAsia="en-US"/>
    </w:rPr>
  </w:style>
  <w:style w:type="paragraph" w:customStyle="1" w:styleId="Revision1">
    <w:name w:val="Revision1"/>
    <w:hidden/>
    <w:semiHidden/>
    <w:rsid w:val="00874ECF"/>
    <w:rPr>
      <w:rFonts w:eastAsia="Times New Roman"/>
      <w:sz w:val="24"/>
      <w:szCs w:val="24"/>
      <w:lang w:val="en-US" w:eastAsia="en-US"/>
    </w:rPr>
  </w:style>
  <w:style w:type="numbering" w:customStyle="1" w:styleId="Numbered">
    <w:name w:val="Numbered"/>
    <w:rsid w:val="007D6773"/>
    <w:pPr>
      <w:numPr>
        <w:numId w:val="3"/>
      </w:numPr>
    </w:pPr>
  </w:style>
  <w:style w:type="numbering" w:customStyle="1" w:styleId="ImportedStyle2">
    <w:name w:val="Imported Style 2"/>
    <w:rsid w:val="007D6773"/>
    <w:pPr>
      <w:numPr>
        <w:numId w:val="1"/>
      </w:numPr>
    </w:pPr>
  </w:style>
  <w:style w:type="numbering" w:customStyle="1" w:styleId="Bullets">
    <w:name w:val="Bullets"/>
    <w:rsid w:val="007D6773"/>
    <w:pPr>
      <w:numPr>
        <w:numId w:val="5"/>
      </w:numPr>
    </w:pPr>
  </w:style>
  <w:style w:type="paragraph" w:styleId="Zhlav">
    <w:name w:val="header"/>
    <w:basedOn w:val="Normln"/>
    <w:link w:val="ZhlavChar"/>
    <w:rsid w:val="00BF1D1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F1D13"/>
    <w:rPr>
      <w:rFonts w:eastAsia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rsid w:val="00FC3E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C3E03"/>
    <w:rPr>
      <w:rFonts w:eastAsia="Times New Roman"/>
      <w:lang w:val="en-US" w:eastAsia="en-US"/>
    </w:rPr>
  </w:style>
  <w:style w:type="character" w:styleId="Znakapoznpodarou">
    <w:name w:val="footnote reference"/>
    <w:basedOn w:val="Standardnpsmoodstavce"/>
    <w:rsid w:val="00FC3E03"/>
    <w:rPr>
      <w:vertAlign w:val="superscript"/>
    </w:rPr>
  </w:style>
  <w:style w:type="character" w:customStyle="1" w:styleId="Hyperlink1">
    <w:name w:val="Hyperlink.1"/>
    <w:basedOn w:val="None"/>
    <w:rsid w:val="002C52A0"/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4344AB"/>
    <w:rPr>
      <w:rFonts w:eastAsia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2AC1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742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742B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28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ADA9EC-C85B-46CB-8301-5E1FD43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Nový fát new Lumix LX100 II camera:</vt:lpstr>
      <vt:lpstr>Nový fát new Lumix LX100 II camera:</vt:lpstr>
    </vt:vector>
  </TitlesOfParts>
  <Manager/>
  <Company>Phoenix Communication a.s.</Company>
  <LinksUpToDate>false</LinksUpToDate>
  <CharactersWithSpaces>2952</CharactersWithSpaces>
  <SharedDoc>false</SharedDoc>
  <HyperlinkBase/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M</cp:lastModifiedBy>
  <cp:revision>5</cp:revision>
  <dcterms:created xsi:type="dcterms:W3CDTF">2018-10-22T06:57:00Z</dcterms:created>
  <dcterms:modified xsi:type="dcterms:W3CDTF">2018-10-22T10:36:00Z</dcterms:modified>
  <cp:category/>
</cp:coreProperties>
</file>