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98DA7" w14:textId="4CCD28F6" w:rsidR="00030A77" w:rsidRDefault="009B13FA" w:rsidP="00030A77">
      <w:pPr>
        <w:pStyle w:val="Heading1"/>
        <w:rPr>
          <w:b/>
          <w:bCs/>
          <w:color w:val="B90747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0" allowOverlap="1" wp14:anchorId="37708226" wp14:editId="4F11320D">
            <wp:simplePos x="0" y="0"/>
            <wp:positionH relativeFrom="margin">
              <wp:posOffset>5715000</wp:posOffset>
            </wp:positionH>
            <wp:positionV relativeFrom="margin">
              <wp:posOffset>-899795</wp:posOffset>
            </wp:positionV>
            <wp:extent cx="957600" cy="11322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4F2">
        <w:rPr>
          <w:b/>
          <w:bCs/>
          <w:color w:val="B90747"/>
        </w:rPr>
        <w:t>Velikonoční půst bez hladovění a s chutí</w:t>
      </w:r>
    </w:p>
    <w:p w14:paraId="4C5C2761" w14:textId="060D1498" w:rsidR="0082627C" w:rsidRPr="00D864F2" w:rsidRDefault="00D864F2" w:rsidP="0082627C">
      <w:bookmarkStart w:id="0" w:name="_GoBack"/>
      <w:bookmarkEnd w:id="0"/>
      <w:r w:rsidRPr="00D864F2">
        <w:rPr>
          <w:b/>
          <w:bCs/>
        </w:rPr>
        <w:t xml:space="preserve">Období velkého půstu je v plném proudu. </w:t>
      </w:r>
      <w:r w:rsidR="00B85B19">
        <w:rPr>
          <w:b/>
          <w:bCs/>
        </w:rPr>
        <w:t xml:space="preserve">A právě v tuto </w:t>
      </w:r>
      <w:r w:rsidRPr="00D864F2">
        <w:rPr>
          <w:b/>
          <w:bCs/>
        </w:rPr>
        <w:t>dobu se dle křesťanské tradice můžete vzdát masa, sladkého, alkoholu či kávy. Rozhodně se nejedná o žádných 40 dnů hladovění, ale především jde o změnu v jídelníčku, která vám očistí organismus a vy budete vnímat a cítit chutě a vůně jinak. My jsme pro vás vybrali několik receptů od značky Lamart, kterými můžete zpestřit postní jídelníček.</w:t>
      </w:r>
      <w:r>
        <w:t xml:space="preserve"> </w:t>
      </w:r>
    </w:p>
    <w:p w14:paraId="0FD58489" w14:textId="60582BFE" w:rsidR="00D864F2" w:rsidRPr="00D864F2" w:rsidRDefault="00D864F2" w:rsidP="00D864F2">
      <w:pPr>
        <w:rPr>
          <w:b/>
          <w:bCs/>
        </w:rPr>
      </w:pPr>
      <w:r w:rsidRPr="00D864F2">
        <w:rPr>
          <w:b/>
          <w:bCs/>
        </w:rPr>
        <w:t>Co si dopřát během půstu</w:t>
      </w:r>
      <w:r w:rsidR="00562805" w:rsidRPr="00562805">
        <w:t xml:space="preserve"> </w:t>
      </w:r>
    </w:p>
    <w:p w14:paraId="0D4A3877" w14:textId="2C01F0DB" w:rsidR="00D864F2" w:rsidRDefault="00562805" w:rsidP="00D864F2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9536" behindDoc="0" locked="0" layoutInCell="1" allowOverlap="1" wp14:anchorId="09AD1901" wp14:editId="18D1A24C">
            <wp:simplePos x="0" y="0"/>
            <wp:positionH relativeFrom="column">
              <wp:posOffset>3923665</wp:posOffset>
            </wp:positionH>
            <wp:positionV relativeFrom="paragraph">
              <wp:posOffset>43815</wp:posOffset>
            </wp:positionV>
            <wp:extent cx="1722120" cy="2585085"/>
            <wp:effectExtent l="0" t="0" r="0" b="5715"/>
            <wp:wrapSquare wrapText="bothSides"/>
            <wp:docPr id="2" name="Obrázek 2" descr="Ryba s rýží po mexi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ba s rýží po mexick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4F2" w:rsidRPr="00CD1CAA">
        <w:rPr>
          <w:rFonts w:asciiTheme="minorHAnsi" w:eastAsiaTheme="minorHAnsi" w:hAnsiTheme="minorHAnsi" w:cstheme="minorBidi"/>
          <w:sz w:val="22"/>
          <w:szCs w:val="22"/>
          <w:lang w:eastAsia="en-US"/>
        </w:rPr>
        <w:t>Absence masa je postním základem, ryb</w:t>
      </w:r>
      <w:r w:rsidR="00AF3889"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="00D864F2" w:rsidRPr="00CD1CAA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B85B19">
        <w:rPr>
          <w:rFonts w:asciiTheme="minorHAnsi" w:eastAsiaTheme="minorHAnsi" w:hAnsiTheme="minorHAnsi" w:cstheme="minorBidi"/>
          <w:sz w:val="22"/>
          <w:szCs w:val="22"/>
          <w:lang w:eastAsia="en-US"/>
        </w:rPr>
        <w:t>si však můžete v klidu vychutnat.</w:t>
      </w:r>
      <w:r w:rsidR="00D864F2" w:rsidRPr="00CD1C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Pokud ryby nejsou součástí vašeho jídelníčku</w:t>
      </w:r>
      <w:r w:rsidR="00B85B19">
        <w:rPr>
          <w:rFonts w:asciiTheme="minorHAnsi" w:eastAsiaTheme="minorHAnsi" w:hAnsiTheme="minorHAnsi" w:cstheme="minorBidi"/>
          <w:sz w:val="22"/>
          <w:szCs w:val="22"/>
          <w:lang w:eastAsia="en-US"/>
        </w:rPr>
        <w:t>, pro začátek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doporučujeme zvolit například tresku. Ti z vás, kteří pak mají strach z kostí, </w:t>
      </w:r>
      <w:r w:rsidR="00AF3889">
        <w:rPr>
          <w:rFonts w:asciiTheme="minorHAnsi" w:eastAsiaTheme="minorHAnsi" w:hAnsiTheme="minorHAnsi" w:cstheme="minorBidi"/>
          <w:sz w:val="22"/>
          <w:szCs w:val="22"/>
          <w:lang w:eastAsia="en-US"/>
        </w:rPr>
        <w:t>mohou zakoupit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její část zvanou </w:t>
      </w:r>
      <w:r w:rsidR="00D864F2" w:rsidRPr="00700976">
        <w:rPr>
          <w:rFonts w:asciiTheme="minorHAnsi" w:eastAsiaTheme="minorHAnsi" w:hAnsiTheme="minorHAnsi" w:cstheme="minorBidi"/>
          <w:sz w:val="22"/>
          <w:szCs w:val="22"/>
          <w:lang w:eastAsia="en-US"/>
        </w:rPr>
        <w:t>Loin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. Jedná se</w:t>
      </w:r>
      <w:r w:rsidR="00D864F2" w:rsidRPr="007009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F38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</w:t>
      </w:r>
      <w:r w:rsidR="00D864F2" w:rsidRPr="007009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filet </w:t>
      </w:r>
      <w:r w:rsidR="00AF38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 </w:t>
      </w:r>
      <w:r w:rsidR="00D864F2" w:rsidRPr="007009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bílého a jemného masa, který je zcela bez kostí. 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Připravit si ji můžete podle receptu </w:t>
      </w:r>
      <w:hyperlink r:id="rId10" w:history="1">
        <w:r w:rsidR="00D864F2" w:rsidRPr="0070097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Ryba s rýží po mexicku.</w:t>
        </w:r>
      </w:hyperlink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Určitě si díky němu </w:t>
      </w:r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oblíbíte 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jak rybu,</w:t>
      </w:r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 její chuť, 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tak i recept pro jeho </w:t>
      </w:r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snadnou přípravu v jednom hrnci. My jsme 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při vaření</w:t>
      </w:r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využili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1" w:history="1">
        <w:r w:rsidR="00D864F2" w:rsidRPr="0070097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smaltový hrnec s poklicí Lamart EMAIL LT 1184 </w:t>
        </w:r>
      </w:hyperlink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>v elegantní kombinaci červené a černé barvy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. Ten j</w:t>
      </w:r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>e vhodný na všechny druhy ohřevu – plyn, elektriku, indukci</w:t>
      </w:r>
      <w:r w:rsidR="00AF38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</w:t>
      </w:r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>sklokeramiku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. Vložit ho můžete</w:t>
      </w:r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do trouby. Hrnec je opatřen vnitřním smaltovaným povrchem, který je odolný proti oděru při míchání nebo nabírání připravovaných pokrmů a také proti nežádoucímu připalování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D864F2" w:rsidRPr="007A1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3E73B7D" w14:textId="77777777" w:rsidR="00562805" w:rsidRDefault="00562805" w:rsidP="00D864F2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364E5A6" w14:textId="48E20C7E" w:rsidR="00D864F2" w:rsidRPr="00D864F2" w:rsidRDefault="00D864F2" w:rsidP="00D864F2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864F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Zelenina nesmí chybět</w:t>
      </w:r>
    </w:p>
    <w:p w14:paraId="00CB08E5" w14:textId="0884994F" w:rsidR="00D864F2" w:rsidRDefault="00562805" w:rsidP="00D864F2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7BBBACA6" wp14:editId="14A03B65">
            <wp:simplePos x="0" y="0"/>
            <wp:positionH relativeFrom="column">
              <wp:posOffset>-366395</wp:posOffset>
            </wp:positionH>
            <wp:positionV relativeFrom="paragraph">
              <wp:posOffset>1238885</wp:posOffset>
            </wp:positionV>
            <wp:extent cx="2305685" cy="1386840"/>
            <wp:effectExtent l="0" t="0" r="0" b="3810"/>
            <wp:wrapSquare wrapText="bothSides"/>
            <wp:docPr id="3" name="Obrázek 3" descr="Obsah obrázku vsedě, interiér, litinový hrnec, čer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vsedě, interiér, litinový hrnec, černá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23" r="-602" b="21877"/>
                    <a:stretch/>
                  </pic:blipFill>
                  <pic:spPr bwMode="auto">
                    <a:xfrm>
                      <a:off x="0" y="0"/>
                      <a:ext cx="230568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Zeleninové saláty nemusí být pouze kombinací listových salátů se zálivkou. Znáte například </w:t>
      </w:r>
      <w:hyperlink r:id="rId13" w:history="1">
        <w:r w:rsidR="00D864F2" w:rsidRPr="001F500D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Salát Tabbouleh</w:t>
        </w:r>
      </w:hyperlink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? Kombinaci bulguru, koriandru, máty, petržele, cibulky, rajčat a česneku si zamilujete. Podávat ho můžete samotný, ale hodí se k němu i </w:t>
      </w:r>
      <w:hyperlink r:id="rId14" w:history="1">
        <w:r w:rsidR="00D864F2" w:rsidRPr="003F7374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Pečen</w:t>
        </w:r>
        <w:r w:rsidR="00D864F2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á</w:t>
        </w:r>
        <w:r w:rsidR="00D864F2" w:rsidRPr="003F7374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ryb</w:t>
        </w:r>
        <w:r w:rsidR="00D864F2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a</w:t>
        </w:r>
        <w:r w:rsidR="00D864F2" w:rsidRPr="003F7374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v solné krustě</w:t>
        </w:r>
      </w:hyperlink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K její přípravě vám postačí několik ingrediencí. Bez čeho se však určitě neobejdete je </w:t>
      </w:r>
      <w:hyperlink r:id="rId15" w:history="1">
        <w:r w:rsidR="00D864F2" w:rsidRPr="00B47323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silnostěnný</w:t>
        </w:r>
        <w:r w:rsidR="00D864F2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hrnec </w:t>
        </w:r>
        <w:r w:rsidR="00D864F2" w:rsidRPr="00B47323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s poklicí Lamart IRON LT1210</w:t>
        </w:r>
      </w:hyperlink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D864F2" w:rsidRPr="00B737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864F2" w:rsidRPr="00F312CC">
        <w:rPr>
          <w:rFonts w:asciiTheme="minorHAnsi" w:eastAsiaTheme="minorHAnsi" w:hAnsiTheme="minorHAnsi" w:cstheme="minorBidi"/>
          <w:sz w:val="22"/>
          <w:szCs w:val="22"/>
          <w:lang w:eastAsia="en-US"/>
        </w:rPr>
        <w:t>Díky speciální povrchové úpravě s ním žádný pokrm nepřipálíte. Kvalitní litina, ze které je vyroben, se totiž pyšní nepřilnavou vrstvou smaltu, která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864F2" w:rsidRPr="00F312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odolává odření během vaření. Vnitřní 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část</w:t>
      </w:r>
      <w:r w:rsidR="00D864F2" w:rsidRPr="00F312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hrnce má </w:t>
      </w:r>
      <w:r w:rsidR="004161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navíc </w:t>
      </w:r>
      <w:r w:rsidR="00D864F2" w:rsidRPr="00F312CC">
        <w:rPr>
          <w:rFonts w:asciiTheme="minorHAnsi" w:eastAsiaTheme="minorHAnsi" w:hAnsiTheme="minorHAnsi" w:cstheme="minorBidi"/>
          <w:sz w:val="22"/>
          <w:szCs w:val="22"/>
          <w:lang w:eastAsia="en-US"/>
        </w:rPr>
        <w:t>tvarově upravené dno, které umožňuje vaření s nízkým obsahem tuku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rizika lepení či přichytávání potravin</w:t>
      </w:r>
      <w:r w:rsidR="00D864F2" w:rsidRPr="00F312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Tento model, stejně jako ostatní h</w:t>
      </w:r>
      <w:r w:rsidR="00D864F2" w:rsidRPr="00F312CC">
        <w:rPr>
          <w:rFonts w:asciiTheme="minorHAnsi" w:eastAsiaTheme="minorHAnsi" w:hAnsiTheme="minorHAnsi" w:cstheme="minorBidi"/>
          <w:sz w:val="22"/>
          <w:szCs w:val="22"/>
          <w:lang w:eastAsia="en-US"/>
        </w:rPr>
        <w:t>rnce řady IRON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D864F2" w:rsidRPr="00F312CC">
        <w:rPr>
          <w:rFonts w:asciiTheme="minorHAnsi" w:eastAsiaTheme="minorHAnsi" w:hAnsiTheme="minorHAnsi" w:cstheme="minorBidi"/>
          <w:sz w:val="22"/>
          <w:szCs w:val="22"/>
          <w:lang w:eastAsia="en-US"/>
        </w:rPr>
        <w:t> jsou vhodné na všechny typy ploten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jejich údržba i čištění </w:t>
      </w:r>
      <w:r w:rsidR="004161B7">
        <w:rPr>
          <w:rFonts w:asciiTheme="minorHAnsi" w:eastAsiaTheme="minorHAnsi" w:hAnsiTheme="minorHAnsi" w:cstheme="minorBidi"/>
          <w:sz w:val="22"/>
          <w:szCs w:val="22"/>
          <w:lang w:eastAsia="en-US"/>
        </w:rPr>
        <w:t>jsou velmi snadné</w:t>
      </w:r>
      <w:r w:rsidR="00D864F2" w:rsidRPr="00F312C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BC95C23" w14:textId="6B0DD4D1" w:rsidR="00562805" w:rsidRDefault="00562805" w:rsidP="00D864F2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CAA3AB5" w14:textId="799AF111" w:rsidR="00562805" w:rsidRDefault="00562805" w:rsidP="00D864F2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20E8C6" w14:textId="4D4320E7" w:rsidR="00D864F2" w:rsidRPr="00D864F2" w:rsidRDefault="00562805" w:rsidP="00D864F2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72064" behindDoc="1" locked="0" layoutInCell="0" allowOverlap="1" wp14:anchorId="09E6A194" wp14:editId="51EF3F6D">
            <wp:simplePos x="0" y="0"/>
            <wp:positionH relativeFrom="margin">
              <wp:posOffset>5699760</wp:posOffset>
            </wp:positionH>
            <wp:positionV relativeFrom="margin">
              <wp:posOffset>-899160</wp:posOffset>
            </wp:positionV>
            <wp:extent cx="957600" cy="113220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4F2" w:rsidRPr="00D864F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Neobvyklá sladká tečka</w:t>
      </w:r>
    </w:p>
    <w:p w14:paraId="718EB484" w14:textId="113F87A3" w:rsidR="00D864F2" w:rsidRPr="00753D8F" w:rsidRDefault="00562805" w:rsidP="00D864F2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0016" behindDoc="0" locked="0" layoutInCell="1" allowOverlap="1" wp14:anchorId="7691EBC0" wp14:editId="63AE0954">
            <wp:simplePos x="0" y="0"/>
            <wp:positionH relativeFrom="column">
              <wp:posOffset>3275965</wp:posOffset>
            </wp:positionH>
            <wp:positionV relativeFrom="paragraph">
              <wp:posOffset>48895</wp:posOffset>
            </wp:positionV>
            <wp:extent cx="2407920" cy="1560830"/>
            <wp:effectExtent l="0" t="0" r="0" b="1270"/>
            <wp:wrapSquare wrapText="bothSides"/>
            <wp:docPr id="4" name="Obrázek 4" descr="Obsah obrázku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jídlo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02" r="-186" b="19658"/>
                    <a:stretch/>
                  </pic:blipFill>
                  <pic:spPr bwMode="auto">
                    <a:xfrm>
                      <a:off x="0" y="0"/>
                      <a:ext cx="240792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Ani během půstu se nenechte ochudit o dezert. Bez klasického cukru a pšeničné mouky můžete připravit netradiční sladkou tečku. Řeč je o </w:t>
      </w:r>
      <w:hyperlink r:id="rId17" w:history="1">
        <w:r w:rsidR="00D864F2" w:rsidRPr="00084A51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Toskánském cuketovém koláči</w:t>
        </w:r>
      </w:hyperlink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D864F2" w:rsidRPr="00E20248">
        <w:rPr>
          <w:rFonts w:asciiTheme="minorHAnsi" w:eastAsiaTheme="minorHAnsi" w:hAnsiTheme="minorHAnsi" w:cstheme="minorBidi"/>
          <w:sz w:val="22"/>
          <w:szCs w:val="22"/>
          <w:lang w:eastAsia="en-US"/>
        </w:rPr>
        <w:t>Tento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nadýchaný a vláčný moučník můžete připravit v dortové formě, ale i v </w:t>
      </w:r>
      <w:hyperlink r:id="rId18" w:history="1">
        <w:r w:rsidR="00D864F2" w:rsidRPr="00E20248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klasickém pekáči se skleněným víkem z řady Aroma Lamart HL0803</w:t>
        </w:r>
      </w:hyperlink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Ten </w:t>
      </w:r>
      <w:r w:rsidR="006F03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můžete využít 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nejen k přípravě koláčů či buchet, ale i nejrůznějších slaných pokrmů.</w:t>
      </w:r>
      <w:r w:rsidR="00D864F2" w:rsidRPr="00E202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Díky tomu, že má pekáč </w:t>
      </w:r>
      <w:r w:rsidR="00D864F2" w:rsidRPr="0082688B">
        <w:rPr>
          <w:rFonts w:asciiTheme="minorHAnsi" w:eastAsiaTheme="minorHAnsi" w:hAnsiTheme="minorHAnsi" w:cstheme="minorBidi"/>
          <w:sz w:val="22"/>
          <w:szCs w:val="22"/>
          <w:lang w:eastAsia="en-US"/>
        </w:rPr>
        <w:t>průhledné víko, můžete sledovat průběh přípravy vašeho jídla. Je vyroben z vysoce odolného hliníku a vnitřní část je potažena keramickým povrchem odolným proti připalování</w:t>
      </w:r>
      <w:r w:rsidR="00D864F2">
        <w:rPr>
          <w:rFonts w:asciiTheme="minorHAnsi" w:eastAsiaTheme="minorHAnsi" w:hAnsiTheme="minorHAnsi" w:cstheme="minorBidi"/>
          <w:sz w:val="22"/>
          <w:szCs w:val="22"/>
          <w:lang w:eastAsia="en-US"/>
        </w:rPr>
        <w:t>. Pekáč je opatřen silným dnem a u poklice nechybí aroma otvor pro únik páry</w:t>
      </w:r>
      <w:r w:rsidR="00D864F2" w:rsidRPr="00E202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D864F2"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  <w:t> </w:t>
      </w:r>
    </w:p>
    <w:p w14:paraId="2DA82FF1" w14:textId="3A6EA319" w:rsidR="00025EBB" w:rsidRDefault="00025EBB" w:rsidP="007714B7">
      <w:pPr>
        <w:rPr>
          <w:color w:val="B90747"/>
          <w:sz w:val="18"/>
          <w:szCs w:val="18"/>
        </w:rPr>
      </w:pPr>
    </w:p>
    <w:p w14:paraId="4173C728" w14:textId="11AC118A" w:rsidR="00562805" w:rsidRDefault="00562805" w:rsidP="007714B7">
      <w:pPr>
        <w:rPr>
          <w:color w:val="B90747"/>
          <w:sz w:val="18"/>
          <w:szCs w:val="18"/>
        </w:rPr>
      </w:pPr>
    </w:p>
    <w:p w14:paraId="1129A3F7" w14:textId="77777777" w:rsidR="00562805" w:rsidRDefault="00562805" w:rsidP="007714B7">
      <w:pPr>
        <w:rPr>
          <w:color w:val="B90747"/>
          <w:sz w:val="18"/>
          <w:szCs w:val="18"/>
        </w:rPr>
      </w:pPr>
    </w:p>
    <w:p w14:paraId="3DB30D32" w14:textId="43214E18" w:rsidR="007651B0" w:rsidRPr="007651B0" w:rsidRDefault="007714B7" w:rsidP="007714B7">
      <w:pPr>
        <w:rPr>
          <w:sz w:val="18"/>
          <w:szCs w:val="18"/>
        </w:rPr>
      </w:pPr>
      <w:r w:rsidRPr="007651B0">
        <w:rPr>
          <w:color w:val="B90747"/>
          <w:sz w:val="18"/>
          <w:szCs w:val="18"/>
        </w:rPr>
        <w:t>O značce Lamart</w:t>
      </w:r>
      <w:r w:rsidRPr="007651B0">
        <w:rPr>
          <w:sz w:val="18"/>
          <w:szCs w:val="18"/>
        </w:rPr>
        <w:br/>
        <w:t>Pro přípravu kvalitního jídla a nápojů nestačí použít jen vynikající suroviny, ale důležité jsou i spotřebiče a nádobí, na kterých se potraviny připravují.</w:t>
      </w:r>
      <w:r w:rsidR="007651B0" w:rsidRPr="007651B0">
        <w:rPr>
          <w:sz w:val="18"/>
          <w:szCs w:val="18"/>
        </w:rPr>
        <w:t xml:space="preserve"> Značk</w:t>
      </w:r>
      <w:r w:rsidR="00AF3889">
        <w:rPr>
          <w:sz w:val="18"/>
          <w:szCs w:val="18"/>
        </w:rPr>
        <w:t>a</w:t>
      </w:r>
      <w:r w:rsidR="007651B0" w:rsidRPr="007651B0">
        <w:rPr>
          <w:sz w:val="18"/>
          <w:szCs w:val="18"/>
        </w:rPr>
        <w:t xml:space="preserve"> Lamart nabízí domácnostem i profesionálním kuchařům perfektní vybavení pro přípravu jídla v několika řadách, podle možností jejich rozpočtů, tak aby kvalitní vybavení bylo dostupné co nejširší skupině milovníků dobrého jídla. </w:t>
      </w:r>
    </w:p>
    <w:p w14:paraId="1974386B" w14:textId="1F2335F2" w:rsidR="007714B7" w:rsidRPr="007651B0" w:rsidRDefault="007714B7" w:rsidP="00030A77">
      <w:pPr>
        <w:rPr>
          <w:sz w:val="18"/>
          <w:szCs w:val="18"/>
        </w:rPr>
      </w:pPr>
      <w:r w:rsidRPr="007651B0">
        <w:rPr>
          <w:sz w:val="18"/>
          <w:szCs w:val="18"/>
        </w:rPr>
        <w:t xml:space="preserve">Řada kuchyňského nádobí Lamart by Piere Lamart byla inspirována zkušenostmi a hravým přístupem k vaření tohoto jedinečného francouzského kuchařského profesionála, který byl </w:t>
      </w:r>
      <w:r w:rsidR="00AF3889">
        <w:rPr>
          <w:sz w:val="18"/>
          <w:szCs w:val="18"/>
        </w:rPr>
        <w:t xml:space="preserve">v minulosti </w:t>
      </w:r>
      <w:r w:rsidRPr="007651B0">
        <w:rPr>
          <w:sz w:val="18"/>
          <w:szCs w:val="18"/>
        </w:rPr>
        <w:t>srdcem a duší malé rodinné brasserie v úrodné oblast</w:t>
      </w:r>
      <w:r w:rsidR="00AF3889">
        <w:rPr>
          <w:sz w:val="18"/>
          <w:szCs w:val="18"/>
        </w:rPr>
        <w:t>i</w:t>
      </w:r>
      <w:r w:rsidRPr="007651B0">
        <w:rPr>
          <w:sz w:val="18"/>
          <w:szCs w:val="18"/>
        </w:rPr>
        <w:t xml:space="preserve"> Bretagne, na pobřeží Atlantského oceánu.</w:t>
      </w:r>
      <w:r w:rsidRPr="007651B0">
        <w:rPr>
          <w:sz w:val="18"/>
          <w:szCs w:val="18"/>
        </w:rPr>
        <w:br/>
      </w:r>
      <w:r w:rsidR="007651B0" w:rsidRPr="007651B0">
        <w:rPr>
          <w:sz w:val="18"/>
          <w:szCs w:val="18"/>
        </w:rPr>
        <w:br/>
      </w:r>
    </w:p>
    <w:sectPr w:rsidR="007714B7" w:rsidRPr="007651B0" w:rsidSect="00030A77">
      <w:headerReference w:type="even" r:id="rId19"/>
      <w:headerReference w:type="first" r:id="rId20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53A60" w14:textId="77777777" w:rsidR="00550084" w:rsidRDefault="00550084" w:rsidP="00030A77">
      <w:pPr>
        <w:spacing w:after="0" w:line="240" w:lineRule="auto"/>
      </w:pPr>
      <w:r>
        <w:separator/>
      </w:r>
    </w:p>
  </w:endnote>
  <w:endnote w:type="continuationSeparator" w:id="0">
    <w:p w14:paraId="3363C5FC" w14:textId="77777777" w:rsidR="00550084" w:rsidRDefault="00550084" w:rsidP="0003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D6C4C" w14:textId="77777777" w:rsidR="00550084" w:rsidRDefault="00550084" w:rsidP="00030A77">
      <w:pPr>
        <w:spacing w:after="0" w:line="240" w:lineRule="auto"/>
      </w:pPr>
      <w:r>
        <w:separator/>
      </w:r>
    </w:p>
  </w:footnote>
  <w:footnote w:type="continuationSeparator" w:id="0">
    <w:p w14:paraId="398EEDF9" w14:textId="77777777" w:rsidR="00550084" w:rsidRDefault="00550084" w:rsidP="0003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DC30398" w14:textId="132EE673" w:rsidR="00030A77" w:rsidRDefault="00B325D0">
    <w:pPr>
      <w:pStyle w:val="Header"/>
    </w:pPr>
    <w:r>
      <w:rPr>
        <w:noProof/>
      </w:rPr>
      <w:pict w14:anchorId="094B7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450157" o:spid="_x0000_s2050" type="#_x0000_t75" alt="" style="position:absolute;margin-left:0;margin-top:0;width:71.0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mart_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8B15CB" w14:textId="189AB06C" w:rsidR="00030A77" w:rsidRDefault="00B325D0">
    <w:pPr>
      <w:pStyle w:val="Header"/>
    </w:pPr>
    <w:r>
      <w:rPr>
        <w:noProof/>
      </w:rPr>
      <w:pict w14:anchorId="016ED0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450156" o:spid="_x0000_s2049" type="#_x0000_t75" alt="" style="position:absolute;margin-left:0;margin-top:0;width:71.0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mart_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43F8"/>
    <w:multiLevelType w:val="hybridMultilevel"/>
    <w:tmpl w:val="A62A0FB8"/>
    <w:lvl w:ilvl="0" w:tplc="45961A3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94368"/>
    <w:multiLevelType w:val="hybridMultilevel"/>
    <w:tmpl w:val="66902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77"/>
    <w:rsid w:val="00025EBB"/>
    <w:rsid w:val="00030A77"/>
    <w:rsid w:val="000312E3"/>
    <w:rsid w:val="00067184"/>
    <w:rsid w:val="000A1D95"/>
    <w:rsid w:val="0011010B"/>
    <w:rsid w:val="00182DB1"/>
    <w:rsid w:val="001A0CC5"/>
    <w:rsid w:val="00205644"/>
    <w:rsid w:val="00212035"/>
    <w:rsid w:val="00237356"/>
    <w:rsid w:val="00245EF5"/>
    <w:rsid w:val="00252927"/>
    <w:rsid w:val="00263C56"/>
    <w:rsid w:val="002C6955"/>
    <w:rsid w:val="00333AC1"/>
    <w:rsid w:val="00350F39"/>
    <w:rsid w:val="003A57F2"/>
    <w:rsid w:val="004161B7"/>
    <w:rsid w:val="00440BA1"/>
    <w:rsid w:val="004B2D00"/>
    <w:rsid w:val="00532929"/>
    <w:rsid w:val="00544D6F"/>
    <w:rsid w:val="00550084"/>
    <w:rsid w:val="00562805"/>
    <w:rsid w:val="0056412E"/>
    <w:rsid w:val="005D1DCE"/>
    <w:rsid w:val="005F0DDC"/>
    <w:rsid w:val="00624F63"/>
    <w:rsid w:val="00674350"/>
    <w:rsid w:val="00683456"/>
    <w:rsid w:val="00683586"/>
    <w:rsid w:val="006B0DC2"/>
    <w:rsid w:val="006D4D1B"/>
    <w:rsid w:val="006F0366"/>
    <w:rsid w:val="00701C26"/>
    <w:rsid w:val="00707A50"/>
    <w:rsid w:val="00715092"/>
    <w:rsid w:val="007651B0"/>
    <w:rsid w:val="007714B7"/>
    <w:rsid w:val="00781148"/>
    <w:rsid w:val="007D40A9"/>
    <w:rsid w:val="007E29D0"/>
    <w:rsid w:val="00816C65"/>
    <w:rsid w:val="0082627C"/>
    <w:rsid w:val="00884F7C"/>
    <w:rsid w:val="008C3BF6"/>
    <w:rsid w:val="008F72BD"/>
    <w:rsid w:val="00915A42"/>
    <w:rsid w:val="00942944"/>
    <w:rsid w:val="009458E1"/>
    <w:rsid w:val="009B13FA"/>
    <w:rsid w:val="009C7BA2"/>
    <w:rsid w:val="00A166DB"/>
    <w:rsid w:val="00A23AEA"/>
    <w:rsid w:val="00AA1135"/>
    <w:rsid w:val="00AF3889"/>
    <w:rsid w:val="00B30703"/>
    <w:rsid w:val="00B325D0"/>
    <w:rsid w:val="00B6540F"/>
    <w:rsid w:val="00B85B19"/>
    <w:rsid w:val="00BA6F50"/>
    <w:rsid w:val="00BB1AD7"/>
    <w:rsid w:val="00BE6E21"/>
    <w:rsid w:val="00C04333"/>
    <w:rsid w:val="00C65B71"/>
    <w:rsid w:val="00C95614"/>
    <w:rsid w:val="00CD0A4E"/>
    <w:rsid w:val="00CE19A7"/>
    <w:rsid w:val="00D05DE4"/>
    <w:rsid w:val="00D14445"/>
    <w:rsid w:val="00D864F2"/>
    <w:rsid w:val="00D87D20"/>
    <w:rsid w:val="00DC4580"/>
    <w:rsid w:val="00DD2F0F"/>
    <w:rsid w:val="00DF39BC"/>
    <w:rsid w:val="00E143C4"/>
    <w:rsid w:val="00E14798"/>
    <w:rsid w:val="00EE7A36"/>
    <w:rsid w:val="00F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3B86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7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77"/>
  </w:style>
  <w:style w:type="paragraph" w:styleId="Footer">
    <w:name w:val="footer"/>
    <w:basedOn w:val="Normal"/>
    <w:link w:val="Foot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77"/>
  </w:style>
  <w:style w:type="character" w:customStyle="1" w:styleId="Heading1Char">
    <w:name w:val="Heading 1 Char"/>
    <w:basedOn w:val="DefaultParagraphFont"/>
    <w:link w:val="Heading1"/>
    <w:uiPriority w:val="9"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77"/>
    <w:pPr>
      <w:numPr>
        <w:ilvl w:val="1"/>
      </w:numPr>
    </w:pPr>
    <w:rPr>
      <w:rFonts w:eastAsiaTheme="minorEastAsia"/>
      <w:color w:val="B90747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0A77"/>
    <w:rPr>
      <w:rFonts w:ascii="Open Sans" w:eastAsiaTheme="minorEastAsia" w:hAnsi="Open Sans"/>
      <w:color w:val="B90747"/>
      <w:spacing w:val="15"/>
    </w:rPr>
  </w:style>
  <w:style w:type="character" w:styleId="Strong">
    <w:name w:val="Strong"/>
    <w:aliases w:val="Perex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BA6F50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A6F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7D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D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DC2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DC2"/>
    <w:rPr>
      <w:rFonts w:ascii="Open Sans" w:hAnsi="Open Sans"/>
      <w:b/>
      <w:bCs/>
      <w:sz w:val="20"/>
      <w:szCs w:val="20"/>
    </w:rPr>
  </w:style>
  <w:style w:type="paragraph" w:customStyle="1" w:styleId="xmsonormal">
    <w:name w:val="x_msonormal"/>
    <w:basedOn w:val="Normal"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ListParagraph">
    <w:name w:val="List Paragraph"/>
    <w:basedOn w:val="Normal"/>
    <w:uiPriority w:val="34"/>
    <w:qFormat/>
    <w:rsid w:val="002C6955"/>
    <w:pPr>
      <w:ind w:left="720"/>
      <w:contextualSpacing/>
    </w:pPr>
  </w:style>
  <w:style w:type="paragraph" w:styleId="Revision">
    <w:name w:val="Revision"/>
    <w:hidden/>
    <w:uiPriority w:val="99"/>
    <w:semiHidden/>
    <w:rsid w:val="00025EBB"/>
    <w:pPr>
      <w:spacing w:after="0" w:line="240" w:lineRule="auto"/>
    </w:pPr>
    <w:rPr>
      <w:rFonts w:ascii="Open Sans" w:hAnsi="Open Sans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5E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7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77"/>
  </w:style>
  <w:style w:type="paragraph" w:styleId="Footer">
    <w:name w:val="footer"/>
    <w:basedOn w:val="Normal"/>
    <w:link w:val="Foot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77"/>
  </w:style>
  <w:style w:type="character" w:customStyle="1" w:styleId="Heading1Char">
    <w:name w:val="Heading 1 Char"/>
    <w:basedOn w:val="DefaultParagraphFont"/>
    <w:link w:val="Heading1"/>
    <w:uiPriority w:val="9"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77"/>
    <w:pPr>
      <w:numPr>
        <w:ilvl w:val="1"/>
      </w:numPr>
    </w:pPr>
    <w:rPr>
      <w:rFonts w:eastAsiaTheme="minorEastAsia"/>
      <w:color w:val="B90747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0A77"/>
    <w:rPr>
      <w:rFonts w:ascii="Open Sans" w:eastAsiaTheme="minorEastAsia" w:hAnsi="Open Sans"/>
      <w:color w:val="B90747"/>
      <w:spacing w:val="15"/>
    </w:rPr>
  </w:style>
  <w:style w:type="character" w:styleId="Strong">
    <w:name w:val="Strong"/>
    <w:aliases w:val="Perex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BA6F50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A6F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7D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D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DC2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DC2"/>
    <w:rPr>
      <w:rFonts w:ascii="Open Sans" w:hAnsi="Open Sans"/>
      <w:b/>
      <w:bCs/>
      <w:sz w:val="20"/>
      <w:szCs w:val="20"/>
    </w:rPr>
  </w:style>
  <w:style w:type="paragraph" w:customStyle="1" w:styleId="xmsonormal">
    <w:name w:val="x_msonormal"/>
    <w:basedOn w:val="Normal"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ListParagraph">
    <w:name w:val="List Paragraph"/>
    <w:basedOn w:val="Normal"/>
    <w:uiPriority w:val="34"/>
    <w:qFormat/>
    <w:rsid w:val="002C6955"/>
    <w:pPr>
      <w:ind w:left="720"/>
      <w:contextualSpacing/>
    </w:pPr>
  </w:style>
  <w:style w:type="paragraph" w:styleId="Revision">
    <w:name w:val="Revision"/>
    <w:hidden/>
    <w:uiPriority w:val="99"/>
    <w:semiHidden/>
    <w:rsid w:val="00025EBB"/>
    <w:pPr>
      <w:spacing w:after="0" w:line="240" w:lineRule="auto"/>
    </w:pPr>
    <w:rPr>
      <w:rFonts w:ascii="Open Sans" w:hAnsi="Open Sans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5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eader" Target="head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lamart.cz/ryba-s-ryzi-po-mexickou" TargetMode="External"/><Relationship Id="rId11" Type="http://schemas.openxmlformats.org/officeDocument/2006/relationships/hyperlink" Target="https://www.lamart.cz/kastrol/lt1184" TargetMode="External"/><Relationship Id="rId12" Type="http://schemas.openxmlformats.org/officeDocument/2006/relationships/image" Target="media/image3.jpeg"/><Relationship Id="rId13" Type="http://schemas.openxmlformats.org/officeDocument/2006/relationships/hyperlink" Target="https://www.lamart.cz/salat-tabbouleh" TargetMode="External"/><Relationship Id="rId14" Type="http://schemas.openxmlformats.org/officeDocument/2006/relationships/hyperlink" Target="https://www.lamart.cz/pecena-ryba-v-solne-kruste" TargetMode="External"/><Relationship Id="rId15" Type="http://schemas.openxmlformats.org/officeDocument/2006/relationships/hyperlink" Target="https://www.lamart.cz/hrnec-s-poklici/lt1210" TargetMode="External"/><Relationship Id="rId16" Type="http://schemas.openxmlformats.org/officeDocument/2006/relationships/image" Target="media/image4.jpeg"/><Relationship Id="rId17" Type="http://schemas.openxmlformats.org/officeDocument/2006/relationships/hyperlink" Target="https://www.lamart.cz/toskansky-cuketovy-kolac" TargetMode="External"/><Relationship Id="rId18" Type="http://schemas.openxmlformats.org/officeDocument/2006/relationships/hyperlink" Target="https://www.lamart.cz/pekac-s-poklici/hl0803" TargetMode="External"/><Relationship Id="rId1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600</Words>
  <Characters>3426</Characters>
  <Application>Microsoft Macintosh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Jirasko</dc:creator>
  <cp:keywords/>
  <dc:description/>
  <cp:lastModifiedBy>Hedvika Pribova</cp:lastModifiedBy>
  <cp:revision>3</cp:revision>
  <dcterms:created xsi:type="dcterms:W3CDTF">2022-03-04T08:42:00Z</dcterms:created>
  <dcterms:modified xsi:type="dcterms:W3CDTF">2022-03-07T12:03:00Z</dcterms:modified>
</cp:coreProperties>
</file>