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76E8" w14:textId="77777777" w:rsidR="00106AF6" w:rsidRDefault="00106AF6" w:rsidP="00641D0C">
      <w:pPr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119920362"/>
    </w:p>
    <w:bookmarkEnd w:id="0"/>
    <w:p w14:paraId="659E6E91" w14:textId="37FD8CDE" w:rsidR="00DF659F" w:rsidRDefault="00DF659F" w:rsidP="00DF659F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DF659F">
        <w:rPr>
          <w:rFonts w:asciiTheme="minorHAnsi" w:hAnsiTheme="minorHAnsi" w:cstheme="minorHAnsi"/>
          <w:b/>
          <w:bCs/>
          <w:sz w:val="32"/>
          <w:szCs w:val="32"/>
        </w:rPr>
        <w:t>Párům s opakovanými potraty může pomoci nové vyšetření</w:t>
      </w:r>
    </w:p>
    <w:p w14:paraId="1511F399" w14:textId="77777777" w:rsidR="00DF659F" w:rsidRPr="00DF659F" w:rsidRDefault="00DF659F" w:rsidP="00DF659F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0A049529" w14:textId="77777777" w:rsidR="00DF659F" w:rsidRPr="00DF659F" w:rsidRDefault="00DF659F" w:rsidP="00DF659F">
      <w:pPr>
        <w:rPr>
          <w:rFonts w:asciiTheme="minorHAnsi" w:hAnsiTheme="minorHAnsi" w:cstheme="minorHAnsi"/>
          <w:sz w:val="22"/>
          <w:szCs w:val="22"/>
        </w:rPr>
      </w:pPr>
      <w:r w:rsidRPr="00DF659F">
        <w:rPr>
          <w:rFonts w:asciiTheme="minorHAnsi" w:hAnsiTheme="minorHAnsi" w:cstheme="minorHAnsi"/>
          <w:sz w:val="22"/>
          <w:szCs w:val="22"/>
        </w:rPr>
        <w:t>Speciální imunogenetické vyšetření pomáhá určit příčinu opakovaných potratů a zároveň zvyšuje úspěšnost IVF terapie s darovanými vajíčky.</w:t>
      </w:r>
    </w:p>
    <w:p w14:paraId="6CDAE942" w14:textId="77777777" w:rsidR="00DF659F" w:rsidRPr="00DF659F" w:rsidRDefault="00DF659F" w:rsidP="00DF659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5337EFE" w14:textId="77777777" w:rsidR="00DF659F" w:rsidRPr="00DF659F" w:rsidRDefault="00DF659F" w:rsidP="00DF659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F659F">
        <w:rPr>
          <w:rFonts w:asciiTheme="minorHAnsi" w:hAnsiTheme="minorHAnsi" w:cstheme="minorHAnsi"/>
          <w:b/>
          <w:bCs/>
          <w:sz w:val="22"/>
          <w:szCs w:val="22"/>
        </w:rPr>
        <w:t xml:space="preserve">Opakované potraty v rané fázi těhotenství a problémy s donošením plodu mívají různé příčiny. Jednou z nich může být nekompatibilita mezi imunitním systémem dělohy matky a genotypem embrya, kterou je možné identifikovat jen speciálním vyšetřením. Na základě jeho výsledků dokážou odborníci vyhodnotit, jaká může být imunologická reakce matky na embryo. Právě ta je totiž jedním z klíčových faktorů, které rozhodují o úspěchu uhnízdění embrya i jeho dalšího vývoje. Případná intolerance genotypu embrya může mít za následek závažné komplikace během těhotenství často vedoucí k potratu i. Vyšetření s názvem HLA+ nabízí v České republice zatím jen jediná klinika asistované reprodukce – IVF CUBE v Praze. Metoda je určena především párům, jimž naděje na dítě už v minulosti zmařily opakované potraty. </w:t>
      </w:r>
    </w:p>
    <w:p w14:paraId="439B8D0C" w14:textId="6CBAEAFA" w:rsidR="00DF659F" w:rsidRDefault="00DF659F" w:rsidP="00DF659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9D57413" w14:textId="77777777" w:rsidR="00DF659F" w:rsidRPr="00DF659F" w:rsidRDefault="00DF659F" w:rsidP="00DF659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17ED6BB" w14:textId="77777777" w:rsidR="00DF659F" w:rsidRPr="00DF659F" w:rsidRDefault="00DF659F" w:rsidP="00DF659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F659F">
        <w:rPr>
          <w:rFonts w:asciiTheme="minorHAnsi" w:hAnsiTheme="minorHAnsi" w:cstheme="minorHAnsi"/>
          <w:b/>
          <w:bCs/>
          <w:sz w:val="22"/>
          <w:szCs w:val="22"/>
        </w:rPr>
        <w:t>O úspěchu těhotenství může rozhodnout imunogenetika</w:t>
      </w:r>
    </w:p>
    <w:p w14:paraId="3A00A7D0" w14:textId="77777777" w:rsidR="00DF659F" w:rsidRPr="00DF659F" w:rsidRDefault="00DF659F" w:rsidP="00DF659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F659F">
        <w:rPr>
          <w:rFonts w:asciiTheme="minorHAnsi" w:hAnsiTheme="minorHAnsi" w:cstheme="minorHAnsi"/>
          <w:sz w:val="22"/>
          <w:szCs w:val="22"/>
        </w:rPr>
        <w:t xml:space="preserve">Každý člověk je v závislosti na svém genotypu nositelem specifické kombinace antigenů HLA-C, které mohou významně ovlivnit reprodukční proces. Zároveň je nositelem unikátní sady tzv. KIR receptorů, které představují jeden z klíčových prvků naší vrozené imunity. Tyto receptory sehrávají důležitou roli nejen při běžných imunitních reakcích těla, například na infekci, ale i při transplantaci darovaných orgánů nebo i embryí, kdy na nich závisí, zda je tělo přijme. </w:t>
      </w:r>
      <w:r w:rsidRPr="00DF659F">
        <w:rPr>
          <w:rFonts w:asciiTheme="minorHAnsi" w:hAnsiTheme="minorHAnsi" w:cstheme="minorHAnsi"/>
          <w:i/>
          <w:iCs/>
          <w:sz w:val="22"/>
          <w:szCs w:val="22"/>
        </w:rPr>
        <w:t>„Lidský imunitní systém je připravený eliminovat cokoliv, co rozpozná jako cizí. To se může stát i během těhotenství, kdy imunitní systém matky reaguje s embryem, které má kromě mateřských antigenů i antigeny od otce. “</w:t>
      </w:r>
      <w:r w:rsidRPr="00DF659F">
        <w:rPr>
          <w:rFonts w:asciiTheme="minorHAnsi" w:hAnsiTheme="minorHAnsi" w:cstheme="minorHAnsi"/>
          <w:sz w:val="22"/>
          <w:szCs w:val="22"/>
        </w:rPr>
        <w:t xml:space="preserve"> vysvětluje MUDr.</w:t>
      </w:r>
      <w:r w:rsidRPr="00DF659F">
        <w:rPr>
          <w:rFonts w:asciiTheme="minorHAnsi" w:hAnsiTheme="minorHAnsi" w:cstheme="minorHAnsi"/>
          <w:b/>
          <w:bCs/>
          <w:sz w:val="22"/>
          <w:szCs w:val="22"/>
        </w:rPr>
        <w:t xml:space="preserve"> Hana Višňová, vedoucí lékařka kliniky IVF CUBE</w:t>
      </w:r>
      <w:r w:rsidRPr="00DF659F">
        <w:rPr>
          <w:rFonts w:asciiTheme="minorHAnsi" w:hAnsiTheme="minorHAnsi" w:cstheme="minorHAnsi"/>
          <w:sz w:val="22"/>
          <w:szCs w:val="22"/>
        </w:rPr>
        <w:t>, a pokračuje: „</w:t>
      </w:r>
      <w:r w:rsidRPr="00DF659F">
        <w:rPr>
          <w:rFonts w:asciiTheme="minorHAnsi" w:hAnsiTheme="minorHAnsi" w:cstheme="minorHAnsi"/>
          <w:i/>
          <w:iCs/>
          <w:sz w:val="22"/>
          <w:szCs w:val="22"/>
        </w:rPr>
        <w:t>O toleranci, respektive intoleranci matky vůči kombinaci antigenů HLA-C u embrya rozhodují její imunitní buňky a jejich KIR receptory zodpovědné za přirozenou imunitu v děloze matky. I na míře jejich kompatibility závisí úspěšný průběh těhotenství.“</w:t>
      </w:r>
    </w:p>
    <w:p w14:paraId="4632B546" w14:textId="77777777" w:rsidR="00DF659F" w:rsidRPr="00DF659F" w:rsidRDefault="00DF659F" w:rsidP="00DF659F">
      <w:pPr>
        <w:rPr>
          <w:rFonts w:asciiTheme="minorHAnsi" w:hAnsiTheme="minorHAnsi" w:cstheme="minorHAnsi"/>
          <w:sz w:val="22"/>
          <w:szCs w:val="22"/>
        </w:rPr>
      </w:pPr>
    </w:p>
    <w:p w14:paraId="7F96FBA2" w14:textId="77777777" w:rsidR="00DF659F" w:rsidRPr="00DF659F" w:rsidRDefault="00DF659F" w:rsidP="00DF659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F659F">
        <w:rPr>
          <w:rFonts w:asciiTheme="minorHAnsi" w:hAnsiTheme="minorHAnsi" w:cstheme="minorHAnsi"/>
          <w:b/>
          <w:bCs/>
          <w:sz w:val="22"/>
          <w:szCs w:val="22"/>
        </w:rPr>
        <w:t>Nekompatibilita ohrožuje plod i matku</w:t>
      </w:r>
    </w:p>
    <w:p w14:paraId="5E4082CA" w14:textId="77777777" w:rsidR="00DF659F" w:rsidRPr="00DF659F" w:rsidRDefault="00DF659F" w:rsidP="00DF659F">
      <w:pPr>
        <w:jc w:val="both"/>
        <w:rPr>
          <w:rFonts w:asciiTheme="minorHAnsi" w:hAnsiTheme="minorHAnsi" w:cstheme="minorHAnsi"/>
          <w:sz w:val="22"/>
          <w:szCs w:val="22"/>
        </w:rPr>
      </w:pPr>
      <w:r w:rsidRPr="00DF659F">
        <w:rPr>
          <w:rFonts w:asciiTheme="minorHAnsi" w:hAnsiTheme="minorHAnsi" w:cstheme="minorHAnsi"/>
          <w:sz w:val="22"/>
          <w:szCs w:val="22"/>
        </w:rPr>
        <w:t xml:space="preserve">Rozsáhlé výzkumné studie potvrzují, že v případě párů, jejichž snaha o dítě skončila opakovanými potraty, může být jedním z důvodů právě imunologická intolerance dělohy vůči embryu. To znamená, že i když jsou oba partneři zdraví a plodní, jejich imunologická nekompatibilita může v konečném důsledku vést ke spontánním potratům. Odpověď při hledání příčin opakovaných problémů s donošením plodu může poskytnout i vyšetření HLA+, které umožňuje posoudit kompatibilitu mezi KIR receptory v děloze a antigeny HLA-C embrya. </w:t>
      </w:r>
      <w:r w:rsidRPr="00DF659F">
        <w:rPr>
          <w:rFonts w:asciiTheme="minorHAnsi" w:hAnsiTheme="minorHAnsi" w:cstheme="minorHAnsi"/>
          <w:i/>
          <w:iCs/>
          <w:sz w:val="22"/>
          <w:szCs w:val="22"/>
        </w:rPr>
        <w:t>„Některé KIR receptory v děloze matky mohou vykazovat vysokou míru intolerance vůči určitým subtypům antigenů HLA-C. A to až do takové míry, že žena sice otěhotní, ale opakovaně přijde o plod. Dalším velmi vážným důsledkem takovéto nekompatibility bývá i preeklampsie, která může fatálně ohrozit vývoj a život plodu i samotné matky,“</w:t>
      </w:r>
      <w:r w:rsidRPr="00DF659F">
        <w:rPr>
          <w:rFonts w:asciiTheme="minorHAnsi" w:hAnsiTheme="minorHAnsi" w:cstheme="minorHAnsi"/>
          <w:sz w:val="22"/>
          <w:szCs w:val="22"/>
        </w:rPr>
        <w:t xml:space="preserve"> vysvětluje MUDr. Višňová.  </w:t>
      </w:r>
    </w:p>
    <w:p w14:paraId="6BE672D8" w14:textId="77777777" w:rsidR="00DF659F" w:rsidRPr="00DF659F" w:rsidRDefault="00DF659F" w:rsidP="00DF659F">
      <w:pPr>
        <w:rPr>
          <w:rFonts w:asciiTheme="minorHAnsi" w:hAnsiTheme="minorHAnsi" w:cstheme="minorHAnsi"/>
          <w:sz w:val="22"/>
          <w:szCs w:val="22"/>
        </w:rPr>
      </w:pPr>
    </w:p>
    <w:p w14:paraId="02D0C527" w14:textId="77777777" w:rsidR="00DF659F" w:rsidRPr="00DF659F" w:rsidRDefault="00DF659F" w:rsidP="00DF659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F659F">
        <w:rPr>
          <w:rFonts w:asciiTheme="minorHAnsi" w:hAnsiTheme="minorHAnsi" w:cstheme="minorHAnsi"/>
          <w:b/>
          <w:bCs/>
          <w:sz w:val="22"/>
          <w:szCs w:val="22"/>
        </w:rPr>
        <w:t>Pro koho je vyšetření HLA+ vhodné</w:t>
      </w:r>
    </w:p>
    <w:p w14:paraId="1E28263D" w14:textId="77777777" w:rsidR="00DF659F" w:rsidRPr="00DF659F" w:rsidRDefault="00DF659F" w:rsidP="00DF659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F659F">
        <w:rPr>
          <w:rFonts w:asciiTheme="minorHAnsi" w:hAnsiTheme="minorHAnsi" w:cstheme="minorHAnsi"/>
          <w:sz w:val="22"/>
          <w:szCs w:val="22"/>
        </w:rPr>
        <w:t xml:space="preserve">Vyšetření HLA+ zpřístupnila svým pacientům klinika IVF CUBE jako první a zatím jediná v České republice. Nejde přitom o žádnou experimentální metodu, v zahraničí se s úspěchem používá už několik let. Vyšetření bývá indikováno především párům, které v minulosti počaly dítě přirozenou </w:t>
      </w:r>
      <w:r w:rsidRPr="00DF659F">
        <w:rPr>
          <w:rFonts w:asciiTheme="minorHAnsi" w:hAnsiTheme="minorHAnsi" w:cstheme="minorHAnsi"/>
          <w:sz w:val="22"/>
          <w:szCs w:val="22"/>
        </w:rPr>
        <w:lastRenderedPageBreak/>
        <w:t>cestou nebo podstoupily IVF terapii s vlastními či darovanými vajíčky, ale těhotenství opakovaně skončila spontánním potratem plodu. Test HLA+ tak může také odhalit příčinu problémů s donošením plodu. „</w:t>
      </w:r>
      <w:r w:rsidRPr="00DF659F">
        <w:rPr>
          <w:rFonts w:asciiTheme="minorHAnsi" w:hAnsiTheme="minorHAnsi" w:cstheme="minorHAnsi"/>
          <w:i/>
          <w:iCs/>
          <w:sz w:val="22"/>
          <w:szCs w:val="22"/>
        </w:rPr>
        <w:t>Pokud se prokáže, že KIR receptory dělohy vykazují vysokou míru intolerance vůči kombinaci antigenů HLA-C, které by embryo získalo z vlastního vajíčka a spermie partnera, může být páru doporučena IVF terapie s </w:t>
      </w:r>
      <w:proofErr w:type="spellStart"/>
      <w:r w:rsidRPr="00DF659F">
        <w:rPr>
          <w:rFonts w:asciiTheme="minorHAnsi" w:hAnsiTheme="minorHAnsi" w:cstheme="minorHAnsi"/>
          <w:i/>
          <w:iCs/>
          <w:sz w:val="22"/>
          <w:szCs w:val="22"/>
        </w:rPr>
        <w:t>s</w:t>
      </w:r>
      <w:proofErr w:type="spellEnd"/>
      <w:r w:rsidRPr="00DF659F">
        <w:rPr>
          <w:rFonts w:asciiTheme="minorHAnsi" w:hAnsiTheme="minorHAnsi" w:cstheme="minorHAnsi"/>
          <w:i/>
          <w:iCs/>
          <w:sz w:val="22"/>
          <w:szCs w:val="22"/>
        </w:rPr>
        <w:t> využitím darovacího programu</w:t>
      </w:r>
      <w:r w:rsidRPr="00DF659F">
        <w:rPr>
          <w:rFonts w:asciiTheme="minorHAnsi" w:hAnsiTheme="minorHAnsi" w:cstheme="minorHAnsi"/>
          <w:sz w:val="22"/>
          <w:szCs w:val="22"/>
        </w:rPr>
        <w:t xml:space="preserve">. </w:t>
      </w:r>
      <w:r w:rsidRPr="00DF659F">
        <w:rPr>
          <w:rFonts w:asciiTheme="minorHAnsi" w:hAnsiTheme="minorHAnsi" w:cstheme="minorHAnsi"/>
          <w:i/>
          <w:iCs/>
          <w:sz w:val="22"/>
          <w:szCs w:val="22"/>
        </w:rPr>
        <w:t>V takovém případě nám vyšetření HLA+ zároveň umožní vybrat dárkyni, která bude z hlediska kombinace antigenů HLA-C nejvíce kompatibilní s KIR receptory dělohy pacientky. Tím významně zvýšíme šanci na úspěch IVF terapie a těhotenství,“</w:t>
      </w:r>
      <w:r w:rsidRPr="00DF659F">
        <w:rPr>
          <w:rFonts w:asciiTheme="minorHAnsi" w:hAnsiTheme="minorHAnsi" w:cstheme="minorHAnsi"/>
          <w:sz w:val="22"/>
          <w:szCs w:val="22"/>
        </w:rPr>
        <w:t xml:space="preserve"> dodává MUDr. Višňová</w:t>
      </w:r>
      <w:r w:rsidRPr="00DF659F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</w:p>
    <w:p w14:paraId="054FA711" w14:textId="77777777" w:rsidR="00DF659F" w:rsidRPr="00DF659F" w:rsidRDefault="00DF659F" w:rsidP="00DF659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BC8E46E" w14:textId="77777777" w:rsidR="00DF659F" w:rsidRPr="00DF659F" w:rsidRDefault="00DF659F" w:rsidP="00DF659F">
      <w:pPr>
        <w:jc w:val="both"/>
        <w:rPr>
          <w:rFonts w:asciiTheme="minorHAnsi" w:hAnsiTheme="minorHAnsi" w:cstheme="minorHAnsi"/>
          <w:sz w:val="22"/>
          <w:szCs w:val="22"/>
        </w:rPr>
      </w:pPr>
      <w:r w:rsidRPr="00DF659F">
        <w:rPr>
          <w:rFonts w:asciiTheme="minorHAnsi" w:hAnsiTheme="minorHAnsi" w:cstheme="minorHAnsi"/>
          <w:sz w:val="22"/>
          <w:szCs w:val="22"/>
        </w:rPr>
        <w:t xml:space="preserve">Vyšetření HLA+ se realizuje ze vzorku krve páru. Pokud jde o IVF terapii s darovanými buňkami, vyšetří se i krev potenciální dárkyně/dárce. Metoda v současnosti není hrazena ze zdravotního pojištění. </w:t>
      </w:r>
    </w:p>
    <w:p w14:paraId="5096C012" w14:textId="7137DF0C" w:rsidR="00DF659F" w:rsidRDefault="00DF659F" w:rsidP="00DF65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74BC4F" w14:textId="1E3E1916" w:rsidR="00DF659F" w:rsidRPr="00DF659F" w:rsidRDefault="00DF659F" w:rsidP="00DF659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---</w:t>
      </w:r>
    </w:p>
    <w:p w14:paraId="42534808" w14:textId="77777777" w:rsidR="00DF659F" w:rsidRPr="00DF659F" w:rsidRDefault="00DF659F" w:rsidP="00DF659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F659F">
        <w:rPr>
          <w:rFonts w:asciiTheme="minorHAnsi" w:hAnsiTheme="minorHAnsi" w:cstheme="minorHAnsi"/>
          <w:b/>
          <w:bCs/>
          <w:sz w:val="22"/>
          <w:szCs w:val="22"/>
        </w:rPr>
        <w:t>Vysvětlivky:</w:t>
      </w:r>
    </w:p>
    <w:p w14:paraId="0FFF3E6A" w14:textId="77777777" w:rsidR="00DF659F" w:rsidRPr="00DF659F" w:rsidRDefault="00DF659F" w:rsidP="00DF659F">
      <w:pPr>
        <w:jc w:val="both"/>
        <w:rPr>
          <w:rFonts w:asciiTheme="minorHAnsi" w:hAnsiTheme="minorHAnsi" w:cstheme="minorHAnsi"/>
          <w:sz w:val="22"/>
          <w:szCs w:val="22"/>
        </w:rPr>
      </w:pPr>
      <w:r w:rsidRPr="00DF659F">
        <w:rPr>
          <w:rFonts w:asciiTheme="minorHAnsi" w:hAnsiTheme="minorHAnsi" w:cstheme="minorHAnsi"/>
          <w:b/>
          <w:bCs/>
          <w:sz w:val="22"/>
          <w:szCs w:val="22"/>
        </w:rPr>
        <w:t>HLA-C</w:t>
      </w:r>
      <w:r w:rsidRPr="00DF659F">
        <w:rPr>
          <w:rFonts w:asciiTheme="minorHAnsi" w:hAnsiTheme="minorHAnsi" w:cstheme="minorHAnsi"/>
          <w:sz w:val="22"/>
          <w:szCs w:val="22"/>
        </w:rPr>
        <w:t xml:space="preserve"> </w:t>
      </w:r>
      <w:r w:rsidRPr="00DF659F">
        <w:rPr>
          <w:rFonts w:asciiTheme="minorHAnsi" w:hAnsiTheme="minorHAnsi" w:cstheme="minorHAnsi"/>
          <w:b/>
          <w:bCs/>
          <w:sz w:val="22"/>
          <w:szCs w:val="22"/>
        </w:rPr>
        <w:t>(</w:t>
      </w:r>
      <w:proofErr w:type="spellStart"/>
      <w:r w:rsidRPr="00DF659F">
        <w:rPr>
          <w:rFonts w:asciiTheme="minorHAnsi" w:hAnsiTheme="minorHAnsi" w:cstheme="minorHAnsi"/>
          <w:b/>
          <w:bCs/>
          <w:sz w:val="22"/>
          <w:szCs w:val="22"/>
        </w:rPr>
        <w:t>Human</w:t>
      </w:r>
      <w:proofErr w:type="spellEnd"/>
      <w:r w:rsidRPr="00DF65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F659F">
        <w:rPr>
          <w:rFonts w:asciiTheme="minorHAnsi" w:hAnsiTheme="minorHAnsi" w:cstheme="minorHAnsi"/>
          <w:b/>
          <w:bCs/>
          <w:sz w:val="22"/>
          <w:szCs w:val="22"/>
        </w:rPr>
        <w:t>Leucocyte</w:t>
      </w:r>
      <w:proofErr w:type="spellEnd"/>
      <w:r w:rsidRPr="00DF659F">
        <w:rPr>
          <w:rFonts w:asciiTheme="minorHAnsi" w:hAnsiTheme="minorHAnsi" w:cstheme="minorHAnsi"/>
          <w:b/>
          <w:bCs/>
          <w:sz w:val="22"/>
          <w:szCs w:val="22"/>
        </w:rPr>
        <w:t xml:space="preserve"> Antigen-C)</w:t>
      </w:r>
      <w:r w:rsidRPr="00DF659F">
        <w:rPr>
          <w:rFonts w:asciiTheme="minorHAnsi" w:hAnsiTheme="minorHAnsi" w:cstheme="minorHAnsi"/>
          <w:sz w:val="22"/>
          <w:szCs w:val="22"/>
        </w:rPr>
        <w:t xml:space="preserve"> – rozsáhlý komplex genů, které determinují povrchové molekuly (antigeny) umístěné v plazmatické membráně buněk. Je hlavním </w:t>
      </w:r>
      <w:proofErr w:type="spellStart"/>
      <w:r w:rsidRPr="00DF659F">
        <w:rPr>
          <w:rFonts w:asciiTheme="minorHAnsi" w:hAnsiTheme="minorHAnsi" w:cstheme="minorHAnsi"/>
          <w:sz w:val="22"/>
          <w:szCs w:val="22"/>
        </w:rPr>
        <w:t>histokompatibilním</w:t>
      </w:r>
      <w:proofErr w:type="spellEnd"/>
      <w:r w:rsidRPr="00DF659F">
        <w:rPr>
          <w:rFonts w:asciiTheme="minorHAnsi" w:hAnsiTheme="minorHAnsi" w:cstheme="minorHAnsi"/>
          <w:sz w:val="22"/>
          <w:szCs w:val="22"/>
        </w:rPr>
        <w:t xml:space="preserve"> systémem, který je primárně zodpovědný za rozeznávání vlastního od cizorodého.</w:t>
      </w:r>
    </w:p>
    <w:p w14:paraId="4E0A2460" w14:textId="77777777" w:rsidR="00DF659F" w:rsidRPr="00DF659F" w:rsidRDefault="00DF659F" w:rsidP="00DF65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2255BB" w14:textId="77777777" w:rsidR="00DF659F" w:rsidRPr="00DF659F" w:rsidRDefault="00DF659F" w:rsidP="00DF659F">
      <w:pPr>
        <w:jc w:val="both"/>
        <w:rPr>
          <w:rFonts w:asciiTheme="minorHAnsi" w:hAnsiTheme="minorHAnsi" w:cstheme="minorHAnsi"/>
          <w:sz w:val="22"/>
          <w:szCs w:val="22"/>
        </w:rPr>
      </w:pPr>
      <w:r w:rsidRPr="00DF659F">
        <w:rPr>
          <w:rFonts w:asciiTheme="minorHAnsi" w:hAnsiTheme="minorHAnsi" w:cstheme="minorHAnsi"/>
          <w:b/>
          <w:bCs/>
          <w:sz w:val="22"/>
          <w:szCs w:val="22"/>
        </w:rPr>
        <w:t>KIR (</w:t>
      </w:r>
      <w:proofErr w:type="spellStart"/>
      <w:r w:rsidRPr="00DF659F">
        <w:rPr>
          <w:rFonts w:asciiTheme="minorHAnsi" w:hAnsiTheme="minorHAnsi" w:cstheme="minorHAnsi"/>
          <w:b/>
          <w:bCs/>
          <w:sz w:val="22"/>
          <w:szCs w:val="22"/>
        </w:rPr>
        <w:t>Killer</w:t>
      </w:r>
      <w:proofErr w:type="spellEnd"/>
      <w:r w:rsidRPr="00DF65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F659F">
        <w:rPr>
          <w:rFonts w:asciiTheme="minorHAnsi" w:hAnsiTheme="minorHAnsi" w:cstheme="minorHAnsi"/>
          <w:b/>
          <w:bCs/>
          <w:sz w:val="22"/>
          <w:szCs w:val="22"/>
        </w:rPr>
        <w:t>Immunoglobulin</w:t>
      </w:r>
      <w:proofErr w:type="spellEnd"/>
      <w:r w:rsidRPr="00DF65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F659F">
        <w:rPr>
          <w:rFonts w:asciiTheme="minorHAnsi" w:hAnsiTheme="minorHAnsi" w:cstheme="minorHAnsi"/>
          <w:b/>
          <w:bCs/>
          <w:sz w:val="22"/>
          <w:szCs w:val="22"/>
        </w:rPr>
        <w:t>Receptors</w:t>
      </w:r>
      <w:proofErr w:type="spellEnd"/>
      <w:r w:rsidRPr="00DF659F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DF659F">
        <w:rPr>
          <w:rFonts w:asciiTheme="minorHAnsi" w:hAnsiTheme="minorHAnsi" w:cstheme="minorHAnsi"/>
          <w:sz w:val="22"/>
          <w:szCs w:val="22"/>
        </w:rPr>
        <w:t xml:space="preserve"> – transmembránové glykoproteiny vyskytující se na povrchu lidských NK (Natural </w:t>
      </w:r>
      <w:proofErr w:type="spellStart"/>
      <w:r w:rsidRPr="00DF659F">
        <w:rPr>
          <w:rFonts w:asciiTheme="minorHAnsi" w:hAnsiTheme="minorHAnsi" w:cstheme="minorHAnsi"/>
          <w:sz w:val="22"/>
          <w:szCs w:val="22"/>
        </w:rPr>
        <w:t>Killer</w:t>
      </w:r>
      <w:proofErr w:type="spellEnd"/>
      <w:r w:rsidRPr="00DF659F">
        <w:rPr>
          <w:rFonts w:asciiTheme="minorHAnsi" w:hAnsiTheme="minorHAnsi" w:cstheme="minorHAnsi"/>
          <w:sz w:val="22"/>
          <w:szCs w:val="22"/>
        </w:rPr>
        <w:t xml:space="preserve"> Cell) buněk imunitního systému. Tyto receptory interagují s MHC I. molekulami nacházejícími se na povrchu většiny typů tělových buněk a regulují tak cytotoxické funkce NK buněk. KIR receptory jsou schopné rozlišovat zdravé buňky např. od nádorových či virem infikovaných buněk.</w:t>
      </w:r>
    </w:p>
    <w:p w14:paraId="66E94D8B" w14:textId="77777777" w:rsidR="006F5B31" w:rsidRPr="00DF659F" w:rsidRDefault="006F5B31" w:rsidP="00DF659F">
      <w:pPr>
        <w:rPr>
          <w:rFonts w:asciiTheme="minorHAnsi" w:hAnsiTheme="minorHAnsi" w:cstheme="minorHAnsi"/>
          <w:sz w:val="22"/>
          <w:szCs w:val="22"/>
        </w:rPr>
      </w:pPr>
    </w:p>
    <w:sectPr w:rsidR="006F5B31" w:rsidRPr="00DF659F">
      <w:headerReference w:type="default" r:id="rId10"/>
      <w:footerReference w:type="default" r:id="rId11"/>
      <w:pgSz w:w="11906" w:h="16838"/>
      <w:pgMar w:top="1499" w:right="1418" w:bottom="1418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9D566" w14:textId="77777777" w:rsidR="003C37E2" w:rsidRDefault="003C37E2">
      <w:r>
        <w:separator/>
      </w:r>
    </w:p>
  </w:endnote>
  <w:endnote w:type="continuationSeparator" w:id="0">
    <w:p w14:paraId="799BE236" w14:textId="77777777" w:rsidR="003C37E2" w:rsidRDefault="003C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CE-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A29EA" w14:textId="77777777" w:rsidR="006F5B31" w:rsidRDefault="00ED2A55">
    <w:pPr>
      <w:pStyle w:val="Zpat"/>
      <w:spacing w:before="60"/>
      <w:jc w:val="center"/>
    </w:pPr>
    <w:r>
      <w:rPr>
        <w:rStyle w:val="slostrnky"/>
        <w:rFonts w:ascii="Arial" w:hAnsi="Arial" w:cs="Arial"/>
        <w:sz w:val="16"/>
        <w:szCs w:val="16"/>
      </w:rPr>
      <w:t xml:space="preserve">Kontakt pro média: Eva Kašparová, Phoenix </w:t>
    </w:r>
    <w:proofErr w:type="spellStart"/>
    <w:r>
      <w:rPr>
        <w:rStyle w:val="slostrnky"/>
        <w:rFonts w:ascii="Arial" w:hAnsi="Arial" w:cs="Arial"/>
        <w:sz w:val="16"/>
        <w:szCs w:val="16"/>
      </w:rPr>
      <w:t>Communication</w:t>
    </w:r>
    <w:proofErr w:type="spellEnd"/>
    <w:r>
      <w:rPr>
        <w:rStyle w:val="slostrnky"/>
        <w:rFonts w:ascii="Arial" w:hAnsi="Arial" w:cs="Arial"/>
        <w:sz w:val="16"/>
        <w:szCs w:val="16"/>
      </w:rPr>
      <w:t>, a.s., MT: 608 678 581, eva@phoenixcom.cz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618A0" w14:textId="77777777" w:rsidR="003C37E2" w:rsidRDefault="003C37E2">
      <w:r>
        <w:separator/>
      </w:r>
    </w:p>
  </w:footnote>
  <w:footnote w:type="continuationSeparator" w:id="0">
    <w:p w14:paraId="3C490DD3" w14:textId="77777777" w:rsidR="003C37E2" w:rsidRDefault="003C3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6FE9" w14:textId="77777777" w:rsidR="006F5B31" w:rsidRDefault="00ED2A55">
    <w:pPr>
      <w:pStyle w:val="Zhlav"/>
      <w:ind w:left="426"/>
      <w:jc w:val="right"/>
      <w:rPr>
        <w:rFonts w:ascii="Arial" w:hAnsi="Arial" w:cs="FrutigerCE-Bold"/>
        <w:b/>
        <w:bCs/>
        <w:color w:val="7F7F7F"/>
        <w:sz w:val="18"/>
        <w:szCs w:val="18"/>
        <w:lang w:eastAsia="en-US"/>
      </w:rPr>
    </w:pPr>
    <w:r>
      <w:rPr>
        <w:rFonts w:ascii="Arial" w:hAnsi="Arial" w:cs="FrutigerCE-Bold"/>
        <w:b/>
        <w:bCs/>
        <w:noProof/>
        <w:color w:val="7F7F7F"/>
        <w:sz w:val="18"/>
        <w:szCs w:val="18"/>
        <w:lang w:eastAsia="en-US"/>
      </w:rPr>
      <w:drawing>
        <wp:anchor distT="0" distB="0" distL="0" distR="0" simplePos="0" relativeHeight="3" behindDoc="1" locked="0" layoutInCell="0" allowOverlap="1" wp14:anchorId="767EA43C" wp14:editId="736F77FF">
          <wp:simplePos x="0" y="0"/>
          <wp:positionH relativeFrom="column">
            <wp:posOffset>-620395</wp:posOffset>
          </wp:positionH>
          <wp:positionV relativeFrom="paragraph">
            <wp:posOffset>-87630</wp:posOffset>
          </wp:positionV>
          <wp:extent cx="1544955" cy="133223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1332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7654" w:type="dxa"/>
      <w:tblInd w:w="2093" w:type="dxa"/>
      <w:tblLayout w:type="fixed"/>
      <w:tblLook w:val="04A0" w:firstRow="1" w:lastRow="0" w:firstColumn="1" w:lastColumn="0" w:noHBand="0" w:noVBand="1"/>
    </w:tblPr>
    <w:tblGrid>
      <w:gridCol w:w="3684"/>
      <w:gridCol w:w="3970"/>
    </w:tblGrid>
    <w:tr w:rsidR="006F5B31" w14:paraId="2996B020" w14:textId="77777777">
      <w:trPr>
        <w:trHeight w:val="1355"/>
      </w:trPr>
      <w:tc>
        <w:tcPr>
          <w:tcW w:w="3684" w:type="dxa"/>
          <w:tcBorders>
            <w:bottom w:val="single" w:sz="12" w:space="0" w:color="7F7F7F"/>
          </w:tcBorders>
        </w:tcPr>
        <w:p w14:paraId="7D692591" w14:textId="77777777" w:rsidR="006F5B31" w:rsidRDefault="006F5B31">
          <w:pPr>
            <w:pStyle w:val="Zhlav"/>
            <w:widowControl w:val="0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45D3297B" w14:textId="77777777" w:rsidR="006F5B31" w:rsidRDefault="006F5B31">
          <w:pPr>
            <w:pStyle w:val="Zhlav"/>
            <w:widowControl w:val="0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50EB2C9F" w14:textId="77777777" w:rsidR="006F5B31" w:rsidRDefault="006F5B31">
          <w:pPr>
            <w:pStyle w:val="Zhlav"/>
            <w:widowControl w:val="0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691BC0E7" w14:textId="77777777" w:rsidR="006F5B31" w:rsidRDefault="006F5B31">
          <w:pPr>
            <w:pStyle w:val="Zhlav"/>
            <w:widowControl w:val="0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68C44265" w14:textId="77777777" w:rsidR="006F5B31" w:rsidRDefault="006F5B31">
          <w:pPr>
            <w:pStyle w:val="Zhlav"/>
            <w:widowControl w:val="0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</w:tc>
      <w:tc>
        <w:tcPr>
          <w:tcW w:w="3969" w:type="dxa"/>
          <w:tcBorders>
            <w:bottom w:val="single" w:sz="12" w:space="0" w:color="7F7F7F"/>
          </w:tcBorders>
        </w:tcPr>
        <w:p w14:paraId="4C340CC9" w14:textId="77777777" w:rsidR="006F5B31" w:rsidRDefault="006F5B31">
          <w:pPr>
            <w:pStyle w:val="Zhlav"/>
            <w:widowControl w:val="0"/>
            <w:jc w:val="right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03DB4AAC" w14:textId="77777777" w:rsidR="006F5B31" w:rsidRDefault="006F5B31">
          <w:pPr>
            <w:pStyle w:val="Zhlav"/>
            <w:widowControl w:val="0"/>
            <w:jc w:val="right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0ECC5F2F" w14:textId="77777777" w:rsidR="006F5B31" w:rsidRDefault="006F5B31">
          <w:pPr>
            <w:pStyle w:val="Zhlav"/>
            <w:widowControl w:val="0"/>
            <w:jc w:val="right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516C587A" w14:textId="77777777" w:rsidR="006F5B31" w:rsidRDefault="006F5B31">
          <w:pPr>
            <w:pStyle w:val="Zhlav"/>
            <w:widowControl w:val="0"/>
            <w:jc w:val="right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448B2852" w14:textId="77777777" w:rsidR="006F5B31" w:rsidRDefault="00ED2A55">
          <w:pPr>
            <w:pStyle w:val="Zhlav"/>
            <w:widowControl w:val="0"/>
            <w:jc w:val="right"/>
            <w:rPr>
              <w:rFonts w:ascii="Arial" w:hAnsi="Arial"/>
              <w:color w:val="595959"/>
              <w:sz w:val="22"/>
              <w:szCs w:val="22"/>
            </w:rPr>
          </w:pPr>
          <w:r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  <w:t>TISKOVÁ ZPRÁVA</w:t>
          </w:r>
        </w:p>
      </w:tc>
    </w:tr>
  </w:tbl>
  <w:p w14:paraId="14EF8967" w14:textId="753B1F87" w:rsidR="006F5B31" w:rsidRDefault="006F5B31">
    <w:pPr>
      <w:tabs>
        <w:tab w:val="left" w:pos="2610"/>
      </w:tabs>
    </w:pPr>
  </w:p>
  <w:p w14:paraId="78356BA9" w14:textId="77777777" w:rsidR="00106AF6" w:rsidRDefault="00106AF6">
    <w:pPr>
      <w:tabs>
        <w:tab w:val="left" w:pos="2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F186B"/>
    <w:multiLevelType w:val="multilevel"/>
    <w:tmpl w:val="DC52BFD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4708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31"/>
    <w:rsid w:val="000D488B"/>
    <w:rsid w:val="000F11FD"/>
    <w:rsid w:val="000F7DE5"/>
    <w:rsid w:val="00106AF6"/>
    <w:rsid w:val="00112872"/>
    <w:rsid w:val="00126A22"/>
    <w:rsid w:val="001610F4"/>
    <w:rsid w:val="001939E8"/>
    <w:rsid w:val="001C3A3D"/>
    <w:rsid w:val="002526E6"/>
    <w:rsid w:val="00271F2D"/>
    <w:rsid w:val="00386F08"/>
    <w:rsid w:val="00392FEC"/>
    <w:rsid w:val="003C37E2"/>
    <w:rsid w:val="005B1A76"/>
    <w:rsid w:val="00610BAB"/>
    <w:rsid w:val="00641D0C"/>
    <w:rsid w:val="006B4929"/>
    <w:rsid w:val="006E267B"/>
    <w:rsid w:val="006F4F67"/>
    <w:rsid w:val="006F5B31"/>
    <w:rsid w:val="00735DC7"/>
    <w:rsid w:val="00793C98"/>
    <w:rsid w:val="0084578E"/>
    <w:rsid w:val="008F1150"/>
    <w:rsid w:val="00904D18"/>
    <w:rsid w:val="009234B7"/>
    <w:rsid w:val="00935FB4"/>
    <w:rsid w:val="00952EF2"/>
    <w:rsid w:val="00A052C7"/>
    <w:rsid w:val="00A1460E"/>
    <w:rsid w:val="00A978A2"/>
    <w:rsid w:val="00A97B3E"/>
    <w:rsid w:val="00AF34AA"/>
    <w:rsid w:val="00B35A3C"/>
    <w:rsid w:val="00B92C01"/>
    <w:rsid w:val="00BE4156"/>
    <w:rsid w:val="00C513BC"/>
    <w:rsid w:val="00C87B19"/>
    <w:rsid w:val="00DF659F"/>
    <w:rsid w:val="00E65CF0"/>
    <w:rsid w:val="00ED2A55"/>
    <w:rsid w:val="00F207C7"/>
    <w:rsid w:val="00F44AA0"/>
    <w:rsid w:val="00F90C45"/>
    <w:rsid w:val="00FA78C3"/>
    <w:rsid w:val="00FC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A6E3"/>
  <w15:docId w15:val="{671B751F-B56A-4A75-B95F-D84BBD27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CA7"/>
    <w:rPr>
      <w:sz w:val="24"/>
      <w:szCs w:val="24"/>
      <w:lang w:eastAsia="de-DE"/>
    </w:rPr>
  </w:style>
  <w:style w:type="paragraph" w:styleId="Nadpis1">
    <w:name w:val="heading 1"/>
    <w:basedOn w:val="Normln"/>
    <w:next w:val="Normln"/>
    <w:link w:val="Nadpis1Char"/>
    <w:uiPriority w:val="99"/>
    <w:qFormat/>
    <w:rsid w:val="008E23A3"/>
    <w:pPr>
      <w:keepNext/>
      <w:tabs>
        <w:tab w:val="left" w:pos="4395"/>
      </w:tabs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8E23A3"/>
    <w:pPr>
      <w:keepNext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8E23A3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-851" w:right="-1"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8E23A3"/>
    <w:pPr>
      <w:keepNext/>
      <w:ind w:left="-851" w:right="-1"/>
      <w:jc w:val="both"/>
      <w:outlineLvl w:val="3"/>
    </w:pPr>
    <w:rPr>
      <w:b/>
      <w:bCs/>
      <w:sz w:val="22"/>
      <w:szCs w:val="22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8E23A3"/>
    <w:pPr>
      <w:keepNext/>
      <w:ind w:left="-851" w:right="-1"/>
      <w:jc w:val="center"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8E23A3"/>
    <w:pPr>
      <w:keepNext/>
      <w:ind w:left="-709" w:right="-1"/>
      <w:jc w:val="both"/>
      <w:outlineLvl w:val="5"/>
    </w:pPr>
    <w:rPr>
      <w:b/>
      <w:bCs/>
      <w:sz w:val="22"/>
      <w:szCs w:val="22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8E23A3"/>
    <w:pPr>
      <w:keepNext/>
      <w:jc w:val="both"/>
      <w:outlineLvl w:val="6"/>
    </w:pPr>
    <w:rPr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qFormat/>
    <w:locked/>
    <w:rsid w:val="00682C3F"/>
    <w:rPr>
      <w:rFonts w:ascii="Cambria" w:hAnsi="Cambria" w:cs="Cambria"/>
      <w:b/>
      <w:bCs/>
      <w:kern w:val="2"/>
      <w:sz w:val="32"/>
      <w:szCs w:val="32"/>
      <w:lang w:eastAsia="de-DE"/>
    </w:rPr>
  </w:style>
  <w:style w:type="character" w:customStyle="1" w:styleId="Nadpis2Char">
    <w:name w:val="Nadpis 2 Char"/>
    <w:link w:val="Nadpis2"/>
    <w:uiPriority w:val="99"/>
    <w:semiHidden/>
    <w:qFormat/>
    <w:locked/>
    <w:rsid w:val="00682C3F"/>
    <w:rPr>
      <w:rFonts w:ascii="Cambria" w:hAnsi="Cambria" w:cs="Cambria"/>
      <w:b/>
      <w:bCs/>
      <w:i/>
      <w:iCs/>
      <w:sz w:val="28"/>
      <w:szCs w:val="28"/>
      <w:lang w:eastAsia="de-DE"/>
    </w:rPr>
  </w:style>
  <w:style w:type="character" w:customStyle="1" w:styleId="Nadpis3Char">
    <w:name w:val="Nadpis 3 Char"/>
    <w:link w:val="Nadpis3"/>
    <w:uiPriority w:val="99"/>
    <w:semiHidden/>
    <w:qFormat/>
    <w:locked/>
    <w:rsid w:val="00682C3F"/>
    <w:rPr>
      <w:rFonts w:ascii="Cambria" w:hAnsi="Cambria" w:cs="Cambria"/>
      <w:b/>
      <w:bCs/>
      <w:sz w:val="26"/>
      <w:szCs w:val="26"/>
      <w:lang w:eastAsia="de-DE"/>
    </w:rPr>
  </w:style>
  <w:style w:type="character" w:customStyle="1" w:styleId="Nadpis4Char">
    <w:name w:val="Nadpis 4 Char"/>
    <w:link w:val="Nadpis4"/>
    <w:uiPriority w:val="99"/>
    <w:semiHidden/>
    <w:qFormat/>
    <w:locked/>
    <w:rsid w:val="00682C3F"/>
    <w:rPr>
      <w:rFonts w:ascii="Calibri" w:hAnsi="Calibri" w:cs="Calibri"/>
      <w:b/>
      <w:bCs/>
      <w:sz w:val="28"/>
      <w:szCs w:val="28"/>
      <w:lang w:eastAsia="de-DE"/>
    </w:rPr>
  </w:style>
  <w:style w:type="character" w:customStyle="1" w:styleId="Nadpis5Char">
    <w:name w:val="Nadpis 5 Char"/>
    <w:link w:val="Nadpis5"/>
    <w:uiPriority w:val="99"/>
    <w:semiHidden/>
    <w:qFormat/>
    <w:locked/>
    <w:rsid w:val="00682C3F"/>
    <w:rPr>
      <w:rFonts w:ascii="Calibri" w:hAnsi="Calibri" w:cs="Calibri"/>
      <w:b/>
      <w:bCs/>
      <w:i/>
      <w:iCs/>
      <w:sz w:val="26"/>
      <w:szCs w:val="26"/>
      <w:lang w:eastAsia="de-DE"/>
    </w:rPr>
  </w:style>
  <w:style w:type="character" w:customStyle="1" w:styleId="Nadpis6Char">
    <w:name w:val="Nadpis 6 Char"/>
    <w:link w:val="Nadpis6"/>
    <w:uiPriority w:val="99"/>
    <w:semiHidden/>
    <w:qFormat/>
    <w:locked/>
    <w:rsid w:val="00682C3F"/>
    <w:rPr>
      <w:rFonts w:ascii="Calibri" w:hAnsi="Calibri" w:cs="Calibri"/>
      <w:b/>
      <w:bCs/>
      <w:lang w:eastAsia="de-DE"/>
    </w:rPr>
  </w:style>
  <w:style w:type="character" w:customStyle="1" w:styleId="Nadpis7Char">
    <w:name w:val="Nadpis 7 Char"/>
    <w:link w:val="Nadpis7"/>
    <w:uiPriority w:val="99"/>
    <w:semiHidden/>
    <w:qFormat/>
    <w:locked/>
    <w:rsid w:val="00682C3F"/>
    <w:rPr>
      <w:rFonts w:ascii="Calibri" w:hAnsi="Calibri" w:cs="Calibri"/>
      <w:sz w:val="24"/>
      <w:szCs w:val="24"/>
      <w:lang w:eastAsia="de-DE"/>
    </w:rPr>
  </w:style>
  <w:style w:type="character" w:customStyle="1" w:styleId="ZhlavChar">
    <w:name w:val="Záhlaví Char"/>
    <w:link w:val="Zhlav"/>
    <w:uiPriority w:val="99"/>
    <w:semiHidden/>
    <w:qFormat/>
    <w:locked/>
    <w:rsid w:val="00682C3F"/>
    <w:rPr>
      <w:sz w:val="20"/>
      <w:szCs w:val="20"/>
      <w:lang w:eastAsia="de-DE"/>
    </w:rPr>
  </w:style>
  <w:style w:type="character" w:customStyle="1" w:styleId="ZpatChar">
    <w:name w:val="Zápatí Char"/>
    <w:link w:val="Zpat"/>
    <w:uiPriority w:val="99"/>
    <w:semiHidden/>
    <w:qFormat/>
    <w:locked/>
    <w:rsid w:val="00682C3F"/>
    <w:rPr>
      <w:sz w:val="20"/>
      <w:szCs w:val="20"/>
      <w:lang w:eastAsia="de-DE"/>
    </w:rPr>
  </w:style>
  <w:style w:type="character" w:customStyle="1" w:styleId="ZkladntextChar">
    <w:name w:val="Základní text Char"/>
    <w:link w:val="Zkladntext"/>
    <w:uiPriority w:val="99"/>
    <w:semiHidden/>
    <w:qFormat/>
    <w:locked/>
    <w:rsid w:val="00682C3F"/>
    <w:rPr>
      <w:sz w:val="20"/>
      <w:szCs w:val="20"/>
      <w:lang w:eastAsia="de-DE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locked/>
    <w:rsid w:val="00682C3F"/>
    <w:rPr>
      <w:sz w:val="20"/>
      <w:szCs w:val="20"/>
      <w:lang w:eastAsia="de-DE"/>
    </w:rPr>
  </w:style>
  <w:style w:type="character" w:customStyle="1" w:styleId="Zkladntextodsazen2Char">
    <w:name w:val="Základní text odsazený 2 Char"/>
    <w:link w:val="Zkladntextodsazen2"/>
    <w:uiPriority w:val="99"/>
    <w:semiHidden/>
    <w:qFormat/>
    <w:locked/>
    <w:rsid w:val="00682C3F"/>
    <w:rPr>
      <w:sz w:val="20"/>
      <w:szCs w:val="20"/>
      <w:lang w:eastAsia="de-DE"/>
    </w:rPr>
  </w:style>
  <w:style w:type="character" w:customStyle="1" w:styleId="Zkladntextodsazen3Char">
    <w:name w:val="Základní text odsazený 3 Char"/>
    <w:link w:val="Zkladntextodsazen3"/>
    <w:uiPriority w:val="99"/>
    <w:semiHidden/>
    <w:qFormat/>
    <w:locked/>
    <w:rsid w:val="00682C3F"/>
    <w:rPr>
      <w:sz w:val="16"/>
      <w:szCs w:val="16"/>
      <w:lang w:eastAsia="de-DE"/>
    </w:rPr>
  </w:style>
  <w:style w:type="character" w:customStyle="1" w:styleId="Internetovodkaz">
    <w:name w:val="Internetový odkaz"/>
    <w:uiPriority w:val="99"/>
    <w:rsid w:val="008E23A3"/>
    <w:rPr>
      <w:color w:val="0000FF"/>
      <w:u w:val="single"/>
    </w:rPr>
  </w:style>
  <w:style w:type="character" w:customStyle="1" w:styleId="Navtveninternetovodkaz">
    <w:name w:val="Navštívený internetový odkaz"/>
    <w:uiPriority w:val="99"/>
    <w:rsid w:val="008E23A3"/>
    <w:rPr>
      <w:color w:val="800080"/>
      <w:u w:val="single"/>
    </w:rPr>
  </w:style>
  <w:style w:type="character" w:customStyle="1" w:styleId="TextbublinyChar">
    <w:name w:val="Text bubliny Char"/>
    <w:link w:val="Textbubliny"/>
    <w:uiPriority w:val="99"/>
    <w:semiHidden/>
    <w:qFormat/>
    <w:locked/>
    <w:rsid w:val="00682C3F"/>
    <w:rPr>
      <w:sz w:val="2"/>
      <w:szCs w:val="2"/>
      <w:lang w:eastAsia="de-DE"/>
    </w:rPr>
  </w:style>
  <w:style w:type="character" w:customStyle="1" w:styleId="Zkladntext2Char">
    <w:name w:val="Základní text 2 Char"/>
    <w:link w:val="Zkladntext2"/>
    <w:uiPriority w:val="99"/>
    <w:semiHidden/>
    <w:qFormat/>
    <w:locked/>
    <w:rsid w:val="00682C3F"/>
    <w:rPr>
      <w:sz w:val="20"/>
      <w:szCs w:val="20"/>
      <w:lang w:eastAsia="de-DE"/>
    </w:rPr>
  </w:style>
  <w:style w:type="character" w:styleId="slostrnky">
    <w:name w:val="page number"/>
    <w:basedOn w:val="Standardnpsmoodstavce"/>
    <w:uiPriority w:val="99"/>
    <w:qFormat/>
    <w:rsid w:val="008E23A3"/>
  </w:style>
  <w:style w:type="character" w:customStyle="1" w:styleId="apple-converted-space">
    <w:name w:val="apple-converted-space"/>
    <w:basedOn w:val="Standardnpsmoodstavce"/>
    <w:qFormat/>
    <w:rsid w:val="003D6017"/>
  </w:style>
  <w:style w:type="character" w:customStyle="1" w:styleId="OdstavecsouhlasslbouChar">
    <w:name w:val="Odstavec_souhlas_s_léčbou Char"/>
    <w:link w:val="Odstavecsouhlasslbou"/>
    <w:qFormat/>
    <w:rsid w:val="00A5516C"/>
    <w:rPr>
      <w:rFonts w:ascii="Verdana" w:hAnsi="Verdana"/>
      <w:sz w:val="18"/>
      <w:szCs w:val="18"/>
      <w:lang w:eastAsia="de-DE"/>
    </w:rPr>
  </w:style>
  <w:style w:type="character" w:styleId="Odkaznakoment">
    <w:name w:val="annotation reference"/>
    <w:uiPriority w:val="99"/>
    <w:semiHidden/>
    <w:unhideWhenUsed/>
    <w:qFormat/>
    <w:rsid w:val="00BA6ED9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BA6ED9"/>
    <w:rPr>
      <w:lang w:eastAsia="de-DE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BA6ED9"/>
    <w:rPr>
      <w:b/>
      <w:bCs/>
      <w:lang w:eastAsia="de-DE"/>
    </w:rPr>
  </w:style>
  <w:style w:type="character" w:styleId="Zdraznn">
    <w:name w:val="Emphasis"/>
    <w:uiPriority w:val="20"/>
    <w:qFormat/>
    <w:locked/>
    <w:rsid w:val="006A6585"/>
    <w:rPr>
      <w:i/>
      <w:iCs/>
    </w:rPr>
  </w:style>
  <w:style w:type="character" w:customStyle="1" w:styleId="tlid-translation">
    <w:name w:val="tlid-translation"/>
    <w:qFormat/>
    <w:rsid w:val="00FA0429"/>
  </w:style>
  <w:style w:type="character" w:styleId="Nevyeenzmnka">
    <w:name w:val="Unresolved Mention"/>
    <w:uiPriority w:val="99"/>
    <w:semiHidden/>
    <w:unhideWhenUsed/>
    <w:qFormat/>
    <w:rsid w:val="00653219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locked/>
    <w:rsid w:val="00716CA7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8E23A3"/>
    <w:pPr>
      <w:tabs>
        <w:tab w:val="left" w:pos="2268"/>
      </w:tabs>
      <w:jc w:val="both"/>
    </w:pPr>
    <w:rPr>
      <w:sz w:val="22"/>
      <w:szCs w:val="22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8E23A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E23A3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uiPriority w:val="99"/>
    <w:qFormat/>
    <w:rsid w:val="008E23A3"/>
    <w:pPr>
      <w:ind w:left="-567" w:right="-852" w:firstLine="567"/>
      <w:jc w:val="both"/>
    </w:pPr>
    <w:rPr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8E23A3"/>
    <w:pPr>
      <w:ind w:left="284" w:hanging="284"/>
      <w:jc w:val="both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uiPriority w:val="99"/>
    <w:qFormat/>
    <w:rsid w:val="008E23A3"/>
    <w:pPr>
      <w:ind w:left="708" w:firstLine="424"/>
      <w:jc w:val="both"/>
    </w:pPr>
  </w:style>
  <w:style w:type="paragraph" w:styleId="Zkladntextodsazen3">
    <w:name w:val="Body Text Indent 3"/>
    <w:basedOn w:val="Normln"/>
    <w:link w:val="Zkladntextodsazen3Char"/>
    <w:uiPriority w:val="99"/>
    <w:qFormat/>
    <w:rsid w:val="008E23A3"/>
    <w:pPr>
      <w:ind w:left="285" w:hanging="284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qFormat/>
    <w:rsid w:val="008E23A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qFormat/>
    <w:rsid w:val="008E23A3"/>
    <w:pPr>
      <w:ind w:right="-1"/>
      <w:jc w:val="both"/>
    </w:pPr>
    <w:rPr>
      <w:sz w:val="22"/>
      <w:szCs w:val="22"/>
    </w:rPr>
  </w:style>
  <w:style w:type="paragraph" w:customStyle="1" w:styleId="Textkrper-Einzug21">
    <w:name w:val="Textkörper-Einzug 21"/>
    <w:basedOn w:val="Normln"/>
    <w:uiPriority w:val="99"/>
    <w:qFormat/>
    <w:rsid w:val="008E23A3"/>
    <w:pPr>
      <w:ind w:left="708" w:firstLine="424"/>
      <w:jc w:val="both"/>
    </w:pPr>
    <w:rPr>
      <w:lang w:eastAsia="ar-SA"/>
    </w:rPr>
  </w:style>
  <w:style w:type="paragraph" w:customStyle="1" w:styleId="Textkrper-Einzug31">
    <w:name w:val="Textkörper-Einzug 31"/>
    <w:basedOn w:val="Normln"/>
    <w:uiPriority w:val="99"/>
    <w:qFormat/>
    <w:rsid w:val="008E23A3"/>
    <w:pPr>
      <w:ind w:left="285" w:hanging="284"/>
      <w:jc w:val="both"/>
    </w:pPr>
    <w:rPr>
      <w:sz w:val="22"/>
      <w:szCs w:val="22"/>
      <w:lang w:eastAsia="ar-SA"/>
    </w:rPr>
  </w:style>
  <w:style w:type="paragraph" w:customStyle="1" w:styleId="Blocktext2">
    <w:name w:val="Blocktext2"/>
    <w:basedOn w:val="Normln"/>
    <w:uiPriority w:val="99"/>
    <w:qFormat/>
    <w:rsid w:val="008E23A3"/>
    <w:pPr>
      <w:ind w:left="-567" w:right="-852" w:firstLine="567"/>
      <w:jc w:val="both"/>
    </w:pPr>
    <w:rPr>
      <w:sz w:val="22"/>
      <w:szCs w:val="22"/>
      <w:lang w:eastAsia="ar-SA"/>
    </w:rPr>
  </w:style>
  <w:style w:type="paragraph" w:customStyle="1" w:styleId="Textkrper22">
    <w:name w:val="Textkörper 22"/>
    <w:basedOn w:val="Normln"/>
    <w:uiPriority w:val="99"/>
    <w:qFormat/>
    <w:rsid w:val="008E23A3"/>
    <w:pPr>
      <w:ind w:right="-1"/>
      <w:jc w:val="both"/>
    </w:pPr>
    <w:rPr>
      <w:sz w:val="22"/>
      <w:szCs w:val="22"/>
      <w:lang w:eastAsia="ar-SA"/>
    </w:rPr>
  </w:style>
  <w:style w:type="paragraph" w:customStyle="1" w:styleId="Odstavecsouhlasslbou">
    <w:name w:val="Odstavec_souhlas_s_léčbou"/>
    <w:basedOn w:val="Normln"/>
    <w:link w:val="OdstavecsouhlasslbouChar"/>
    <w:qFormat/>
    <w:rsid w:val="00A5516C"/>
    <w:pPr>
      <w:spacing w:after="60" w:line="288" w:lineRule="auto"/>
      <w:jc w:val="both"/>
    </w:pPr>
    <w:rPr>
      <w:rFonts w:ascii="Verdana" w:hAnsi="Verdana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4676E"/>
    <w:pPr>
      <w:ind w:left="708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BA6E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BA6ED9"/>
    <w:rPr>
      <w:b/>
      <w:bCs/>
    </w:rPr>
  </w:style>
  <w:style w:type="paragraph" w:styleId="Revize">
    <w:name w:val="Revision"/>
    <w:uiPriority w:val="99"/>
    <w:semiHidden/>
    <w:qFormat/>
    <w:rsid w:val="00D465D5"/>
    <w:rPr>
      <w:sz w:val="24"/>
      <w:szCs w:val="24"/>
      <w:lang w:eastAsia="de-DE"/>
    </w:rPr>
  </w:style>
  <w:style w:type="paragraph" w:styleId="Normlnweb">
    <w:name w:val="Normal (Web)"/>
    <w:basedOn w:val="Normln"/>
    <w:uiPriority w:val="99"/>
    <w:unhideWhenUsed/>
    <w:qFormat/>
    <w:rsid w:val="00716CA7"/>
    <w:pPr>
      <w:spacing w:beforeAutospacing="1" w:afterAutospacing="1"/>
    </w:pPr>
    <w:rPr>
      <w:lang w:eastAsia="sk-SK"/>
    </w:rPr>
  </w:style>
  <w:style w:type="table" w:styleId="Mkatabulky">
    <w:name w:val="Table Grid"/>
    <w:basedOn w:val="Normlntabulka"/>
    <w:uiPriority w:val="99"/>
    <w:rsid w:val="008E2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55EE7F04B83743835C43FF32AD603B" ma:contentTypeVersion="2" ma:contentTypeDescription="Vytvoří nový dokument" ma:contentTypeScope="" ma:versionID="60b580165dc0f32ae1ec00e152497b4e">
  <xsd:schema xmlns:xsd="http://www.w3.org/2001/XMLSchema" xmlns:xs="http://www.w3.org/2001/XMLSchema" xmlns:p="http://schemas.microsoft.com/office/2006/metadata/properties" xmlns:ns3="c1a25730-b83c-4b12-90d3-e9c6ecc642f5" targetNamespace="http://schemas.microsoft.com/office/2006/metadata/properties" ma:root="true" ma:fieldsID="84a645a2d02a879a950139ea21bb0d9d" ns3:_="">
    <xsd:import namespace="c1a25730-b83c-4b12-90d3-e9c6ecc642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25730-b83c-4b12-90d3-e9c6ecc6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F9A8ED-3C6A-4B7E-90E9-C64C71044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A1B8AF-9291-4420-AC13-1351CA219A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42EC80-6D70-4E79-8D53-583F4A684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25730-b83c-4b12-90d3-e9c6ecc6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707</Words>
  <Characters>4177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IVF CUBE</vt:lpstr>
      <vt:lpstr>IVF CUBE</vt:lpstr>
    </vt:vector>
  </TitlesOfParts>
  <Company>Ordination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IVF CUBE</dc:title>
  <dc:subject/>
  <dc:creator>Hana</dc:creator>
  <dc:description/>
  <cp:lastModifiedBy>Eva Kašparová | PHOENIXCOM</cp:lastModifiedBy>
  <cp:revision>2</cp:revision>
  <cp:lastPrinted>2022-04-21T14:54:00Z</cp:lastPrinted>
  <dcterms:created xsi:type="dcterms:W3CDTF">2023-03-27T09:56:00Z</dcterms:created>
  <dcterms:modified xsi:type="dcterms:W3CDTF">2023-03-27T09:56:00Z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0x010100CB55EE7F04B83743835C43FF32AD603B</vt:lpwstr>
  </property>
</Properties>
</file>