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46E73" w14:textId="77777777" w:rsidR="009F31E3" w:rsidRPr="00F323B4" w:rsidRDefault="009F31E3" w:rsidP="00BB5640">
      <w:pPr>
        <w:jc w:val="center"/>
        <w:rPr>
          <w:rFonts w:cstheme="minorHAnsi"/>
          <w:b/>
          <w:bCs/>
          <w:sz w:val="28"/>
          <w:szCs w:val="28"/>
        </w:rPr>
      </w:pPr>
    </w:p>
    <w:p w14:paraId="67BEA671" w14:textId="69096E08" w:rsidR="00EB697D" w:rsidRPr="00F95C55" w:rsidRDefault="002B1BA9" w:rsidP="002B1BA9">
      <w:pPr>
        <w:jc w:val="center"/>
        <w:rPr>
          <w:rFonts w:cstheme="minorHAnsi"/>
          <w:b/>
          <w:bCs/>
          <w:sz w:val="28"/>
          <w:szCs w:val="28"/>
        </w:rPr>
      </w:pPr>
      <w:r w:rsidRPr="00F323B4">
        <w:rPr>
          <w:rFonts w:cstheme="minorHAnsi"/>
          <w:b/>
          <w:bCs/>
          <w:sz w:val="28"/>
          <w:szCs w:val="28"/>
        </w:rPr>
        <w:t xml:space="preserve">Až </w:t>
      </w:r>
      <w:r w:rsidR="00A9340E" w:rsidRPr="00F323B4">
        <w:rPr>
          <w:rFonts w:cstheme="minorHAnsi"/>
          <w:b/>
          <w:bCs/>
          <w:sz w:val="28"/>
          <w:szCs w:val="28"/>
        </w:rPr>
        <w:t xml:space="preserve">80 % </w:t>
      </w:r>
      <w:r w:rsidRPr="00763D66">
        <w:rPr>
          <w:rFonts w:cstheme="minorHAnsi"/>
          <w:b/>
          <w:bCs/>
          <w:sz w:val="28"/>
          <w:szCs w:val="28"/>
        </w:rPr>
        <w:t>firem</w:t>
      </w:r>
      <w:r w:rsidR="001649F1">
        <w:rPr>
          <w:rFonts w:cstheme="minorHAnsi"/>
          <w:b/>
          <w:bCs/>
          <w:sz w:val="28"/>
          <w:szCs w:val="28"/>
        </w:rPr>
        <w:t xml:space="preserve"> </w:t>
      </w:r>
      <w:r w:rsidR="00A9340E" w:rsidRPr="00763D66">
        <w:rPr>
          <w:rFonts w:cstheme="minorHAnsi"/>
          <w:b/>
          <w:bCs/>
          <w:sz w:val="28"/>
          <w:szCs w:val="28"/>
        </w:rPr>
        <w:t>by nemuselo skončit v</w:t>
      </w:r>
      <w:r w:rsidRPr="0063630F">
        <w:rPr>
          <w:rFonts w:cstheme="minorHAnsi"/>
          <w:b/>
          <w:bCs/>
          <w:sz w:val="28"/>
          <w:szCs w:val="28"/>
        </w:rPr>
        <w:t> </w:t>
      </w:r>
      <w:r w:rsidR="00A9340E" w:rsidRPr="00AB60FC">
        <w:rPr>
          <w:rFonts w:cstheme="minorHAnsi"/>
          <w:b/>
          <w:bCs/>
          <w:sz w:val="28"/>
          <w:szCs w:val="28"/>
        </w:rPr>
        <w:t>úpadku</w:t>
      </w:r>
      <w:r w:rsidRPr="00AB60FC">
        <w:rPr>
          <w:rFonts w:cstheme="minorHAnsi"/>
          <w:b/>
          <w:bCs/>
          <w:sz w:val="28"/>
          <w:szCs w:val="28"/>
        </w:rPr>
        <w:t xml:space="preserve">, </w:t>
      </w:r>
      <w:r w:rsidRPr="00AB60FC">
        <w:rPr>
          <w:rFonts w:cstheme="minorHAnsi"/>
          <w:b/>
          <w:bCs/>
          <w:sz w:val="28"/>
          <w:szCs w:val="28"/>
        </w:rPr>
        <w:br/>
      </w:r>
      <w:r w:rsidR="001649F1">
        <w:rPr>
          <w:rFonts w:cstheme="minorHAnsi"/>
          <w:b/>
          <w:bCs/>
          <w:sz w:val="28"/>
          <w:szCs w:val="28"/>
        </w:rPr>
        <w:t xml:space="preserve">chránit je </w:t>
      </w:r>
      <w:r w:rsidR="00802392">
        <w:rPr>
          <w:rFonts w:cstheme="minorHAnsi"/>
          <w:b/>
          <w:bCs/>
          <w:sz w:val="28"/>
          <w:szCs w:val="28"/>
        </w:rPr>
        <w:t>má</w:t>
      </w:r>
      <w:r w:rsidRPr="00F95C55">
        <w:rPr>
          <w:rFonts w:cstheme="minorHAnsi"/>
          <w:b/>
          <w:bCs/>
          <w:sz w:val="28"/>
          <w:szCs w:val="28"/>
        </w:rPr>
        <w:t xml:space="preserve"> </w:t>
      </w:r>
      <w:r w:rsidR="00F95C55">
        <w:rPr>
          <w:rFonts w:cstheme="minorHAnsi"/>
          <w:b/>
          <w:bCs/>
          <w:sz w:val="28"/>
          <w:szCs w:val="28"/>
        </w:rPr>
        <w:t>Systém včasných varovných signálů</w:t>
      </w:r>
      <w:r w:rsidRPr="00F95C55">
        <w:rPr>
          <w:rFonts w:cstheme="minorHAnsi"/>
          <w:b/>
          <w:bCs/>
          <w:sz w:val="28"/>
          <w:szCs w:val="28"/>
        </w:rPr>
        <w:t xml:space="preserve"> od VŠE</w:t>
      </w:r>
    </w:p>
    <w:p w14:paraId="6E0568E4" w14:textId="1F4CE856" w:rsidR="00896843" w:rsidRPr="00DC1621" w:rsidRDefault="00373448" w:rsidP="00E579E7">
      <w:pPr>
        <w:rPr>
          <w:rFonts w:cstheme="minorHAnsi"/>
          <w:b/>
          <w:bCs/>
        </w:rPr>
      </w:pPr>
      <w:r w:rsidRPr="00F323B4">
        <w:rPr>
          <w:rFonts w:cstheme="minorHAnsi"/>
        </w:rPr>
        <w:t xml:space="preserve">Praha, </w:t>
      </w:r>
      <w:r w:rsidR="00D40740">
        <w:rPr>
          <w:rFonts w:cstheme="minorHAnsi"/>
        </w:rPr>
        <w:t>26</w:t>
      </w:r>
      <w:r w:rsidRPr="00F323B4">
        <w:rPr>
          <w:rFonts w:cstheme="minorHAnsi"/>
        </w:rPr>
        <w:t xml:space="preserve">. října, 2021 - </w:t>
      </w:r>
      <w:r w:rsidR="00A9340E" w:rsidRPr="00763D66">
        <w:rPr>
          <w:rFonts w:cstheme="minorHAnsi"/>
          <w:b/>
          <w:bCs/>
        </w:rPr>
        <w:t xml:space="preserve">Při využití nových </w:t>
      </w:r>
      <w:r w:rsidR="001C38A0" w:rsidRPr="00763D66">
        <w:rPr>
          <w:rFonts w:cstheme="minorHAnsi"/>
          <w:b/>
          <w:bCs/>
        </w:rPr>
        <w:t xml:space="preserve">restrukturalizačních </w:t>
      </w:r>
      <w:r w:rsidR="00A9340E" w:rsidRPr="0063630F">
        <w:rPr>
          <w:rFonts w:cstheme="minorHAnsi"/>
          <w:b/>
          <w:bCs/>
        </w:rPr>
        <w:t xml:space="preserve">nástrojů by až 80 % firem, které žádaly dříve o moratorium podle Insolvenčního zákona, k tomuto kroku nemuselo přistoupit. </w:t>
      </w:r>
      <w:r w:rsidR="00003F72" w:rsidRPr="00AB60FC">
        <w:rPr>
          <w:rFonts w:cstheme="minorHAnsi"/>
          <w:b/>
          <w:bCs/>
        </w:rPr>
        <w:t xml:space="preserve">Vyplývá to </w:t>
      </w:r>
      <w:r w:rsidR="00A62FFB" w:rsidRPr="00AB60FC">
        <w:rPr>
          <w:rFonts w:cstheme="minorHAnsi"/>
          <w:b/>
          <w:bCs/>
        </w:rPr>
        <w:t xml:space="preserve">ze zkušeností expertů poradenské firmy PwC </w:t>
      </w:r>
      <w:r w:rsidR="00E93A7D" w:rsidRPr="00AB60FC">
        <w:rPr>
          <w:rFonts w:cstheme="minorHAnsi"/>
          <w:b/>
          <w:bCs/>
        </w:rPr>
        <w:t xml:space="preserve">i </w:t>
      </w:r>
      <w:r w:rsidR="001649F1">
        <w:rPr>
          <w:rFonts w:cstheme="minorHAnsi"/>
          <w:b/>
          <w:bCs/>
        </w:rPr>
        <w:t>VŠE</w:t>
      </w:r>
      <w:r w:rsidR="00BA7369">
        <w:rPr>
          <w:rFonts w:cstheme="minorHAnsi"/>
          <w:b/>
          <w:bCs/>
        </w:rPr>
        <w:t xml:space="preserve"> v Praze</w:t>
      </w:r>
      <w:r w:rsidR="002B1BA9" w:rsidRPr="00AB60FC">
        <w:rPr>
          <w:rFonts w:cstheme="minorHAnsi"/>
          <w:b/>
          <w:bCs/>
        </w:rPr>
        <w:t xml:space="preserve">, která vyvinula </w:t>
      </w:r>
      <w:r w:rsidR="00F95C55">
        <w:rPr>
          <w:rFonts w:cstheme="minorHAnsi"/>
          <w:b/>
          <w:bCs/>
        </w:rPr>
        <w:t>Systém varovných signál</w:t>
      </w:r>
      <w:r w:rsidR="00DC1621">
        <w:rPr>
          <w:rFonts w:cstheme="minorHAnsi"/>
          <w:b/>
          <w:bCs/>
        </w:rPr>
        <w:t>ů</w:t>
      </w:r>
      <w:r w:rsidR="00F95C55">
        <w:rPr>
          <w:rFonts w:cstheme="minorHAnsi"/>
          <w:b/>
          <w:bCs/>
        </w:rPr>
        <w:t xml:space="preserve"> predikující možné finanční obtíže firem</w:t>
      </w:r>
      <w:r w:rsidR="001649F1">
        <w:rPr>
          <w:rFonts w:cstheme="minorHAnsi"/>
          <w:b/>
          <w:bCs/>
        </w:rPr>
        <w:t xml:space="preserve">. </w:t>
      </w:r>
      <w:r w:rsidR="00895DDE" w:rsidRPr="00F95C55">
        <w:rPr>
          <w:rFonts w:cstheme="minorHAnsi"/>
          <w:b/>
          <w:bCs/>
        </w:rPr>
        <w:t xml:space="preserve">Ten má na základě </w:t>
      </w:r>
      <w:r w:rsidR="00E93A7D" w:rsidRPr="00F95C55">
        <w:rPr>
          <w:rFonts w:cstheme="minorHAnsi"/>
          <w:b/>
          <w:bCs/>
        </w:rPr>
        <w:t xml:space="preserve">dat z </w:t>
      </w:r>
      <w:r w:rsidR="00895DDE" w:rsidRPr="00F95C55">
        <w:rPr>
          <w:rFonts w:cstheme="minorHAnsi"/>
          <w:b/>
          <w:bCs/>
        </w:rPr>
        <w:t xml:space="preserve">účetních závěrek management společností jednoduše a včas varovat, že firma není v optimální finanční kondici. </w:t>
      </w:r>
      <w:r w:rsidR="002B1BA9" w:rsidRPr="00F95C55">
        <w:rPr>
          <w:rFonts w:cstheme="minorHAnsi"/>
          <w:b/>
          <w:bCs/>
        </w:rPr>
        <w:t>Téma</w:t>
      </w:r>
      <w:r w:rsidR="002B1BA9" w:rsidRPr="001C24B0">
        <w:rPr>
          <w:rFonts w:cstheme="minorHAnsi"/>
          <w:b/>
          <w:bCs/>
        </w:rPr>
        <w:t xml:space="preserve">tem </w:t>
      </w:r>
      <w:r w:rsidR="00003F72" w:rsidRPr="001C24B0">
        <w:rPr>
          <w:rFonts w:cstheme="minorHAnsi"/>
          <w:b/>
          <w:bCs/>
        </w:rPr>
        <w:t>preventivní</w:t>
      </w:r>
      <w:r w:rsidR="003817EB" w:rsidRPr="001C24B0">
        <w:rPr>
          <w:rFonts w:cstheme="minorHAnsi"/>
          <w:b/>
          <w:bCs/>
        </w:rPr>
        <w:t>ch</w:t>
      </w:r>
      <w:r w:rsidR="00003F72" w:rsidRPr="001C24B0">
        <w:rPr>
          <w:rFonts w:cstheme="minorHAnsi"/>
          <w:b/>
          <w:bCs/>
        </w:rPr>
        <w:t xml:space="preserve"> restrukturalizac</w:t>
      </w:r>
      <w:r w:rsidR="003817EB" w:rsidRPr="001C24B0">
        <w:rPr>
          <w:rFonts w:cstheme="minorHAnsi"/>
          <w:b/>
          <w:bCs/>
        </w:rPr>
        <w:t>í</w:t>
      </w:r>
      <w:r w:rsidR="00F22BBF" w:rsidRPr="001C24B0">
        <w:rPr>
          <w:rFonts w:cstheme="minorHAnsi"/>
          <w:b/>
          <w:bCs/>
        </w:rPr>
        <w:t xml:space="preserve"> </w:t>
      </w:r>
      <w:r w:rsidR="002B1BA9" w:rsidRPr="001C24B0">
        <w:rPr>
          <w:rFonts w:cstheme="minorHAnsi"/>
          <w:b/>
          <w:bCs/>
        </w:rPr>
        <w:t xml:space="preserve">se bude </w:t>
      </w:r>
      <w:r w:rsidR="00D93A1A" w:rsidRPr="001C24B0">
        <w:rPr>
          <w:rFonts w:cstheme="minorHAnsi"/>
          <w:b/>
          <w:bCs/>
        </w:rPr>
        <w:t xml:space="preserve">2. listopadu </w:t>
      </w:r>
      <w:r w:rsidR="002B1BA9" w:rsidRPr="001C24B0">
        <w:rPr>
          <w:rFonts w:cstheme="minorHAnsi"/>
          <w:b/>
          <w:bCs/>
        </w:rPr>
        <w:t xml:space="preserve">zabývat </w:t>
      </w:r>
      <w:r w:rsidR="00E37E4C" w:rsidRPr="001C24B0">
        <w:rPr>
          <w:rFonts w:cstheme="minorHAnsi"/>
          <w:b/>
          <w:bCs/>
        </w:rPr>
        <w:t>Restrukturalizační</w:t>
      </w:r>
      <w:r w:rsidR="00E37E4C" w:rsidRPr="00DC1621">
        <w:rPr>
          <w:rFonts w:cstheme="minorHAnsi"/>
          <w:b/>
          <w:bCs/>
        </w:rPr>
        <w:t xml:space="preserve"> fór</w:t>
      </w:r>
      <w:r w:rsidR="00003F72" w:rsidRPr="00DC1621">
        <w:rPr>
          <w:rFonts w:cstheme="minorHAnsi"/>
          <w:b/>
          <w:bCs/>
        </w:rPr>
        <w:t>u</w:t>
      </w:r>
      <w:r w:rsidR="002B1BA9" w:rsidRPr="00DC1621">
        <w:rPr>
          <w:rFonts w:cstheme="minorHAnsi"/>
          <w:b/>
          <w:bCs/>
        </w:rPr>
        <w:t>m</w:t>
      </w:r>
      <w:r w:rsidR="00E37E4C" w:rsidRPr="00DC1621">
        <w:rPr>
          <w:rFonts w:cstheme="minorHAnsi"/>
          <w:b/>
          <w:bCs/>
        </w:rPr>
        <w:t xml:space="preserve"> 2021</w:t>
      </w:r>
      <w:r w:rsidR="00125DBC" w:rsidRPr="00DC1621">
        <w:rPr>
          <w:rFonts w:cstheme="minorHAnsi"/>
          <w:b/>
          <w:bCs/>
        </w:rPr>
        <w:t xml:space="preserve"> organizované asociací TMA ČR</w:t>
      </w:r>
      <w:r w:rsidR="00F80621" w:rsidRPr="00DC1621">
        <w:rPr>
          <w:rFonts w:cstheme="minorHAnsi"/>
          <w:b/>
          <w:bCs/>
        </w:rPr>
        <w:t>.</w:t>
      </w:r>
    </w:p>
    <w:p w14:paraId="62B8C866" w14:textId="6CE4743B" w:rsidR="00EC6F12" w:rsidRPr="001649F1" w:rsidRDefault="00E579E7" w:rsidP="00E579E7">
      <w:pPr>
        <w:rPr>
          <w:rFonts w:cstheme="minorHAnsi"/>
        </w:rPr>
      </w:pPr>
      <w:r w:rsidRPr="00DC1621">
        <w:rPr>
          <w:rFonts w:cstheme="minorHAnsi"/>
        </w:rPr>
        <w:t>Do české</w:t>
      </w:r>
      <w:r w:rsidR="001C38A0" w:rsidRPr="00DC1621">
        <w:rPr>
          <w:rFonts w:cstheme="minorHAnsi"/>
        </w:rPr>
        <w:t xml:space="preserve"> legislativy byla</w:t>
      </w:r>
      <w:r w:rsidRPr="00DC1621">
        <w:rPr>
          <w:rFonts w:cstheme="minorHAnsi"/>
        </w:rPr>
        <w:t xml:space="preserve"> v </w:t>
      </w:r>
      <w:r w:rsidR="001C38A0" w:rsidRPr="00DC1621">
        <w:rPr>
          <w:rFonts w:cstheme="minorHAnsi"/>
        </w:rPr>
        <w:t xml:space="preserve">polovině roku 2017 implementována </w:t>
      </w:r>
      <w:r w:rsidR="000A5F2A" w:rsidRPr="00DC1621">
        <w:rPr>
          <w:rFonts w:cstheme="minorHAnsi"/>
        </w:rPr>
        <w:t xml:space="preserve">po vzoru Německa </w:t>
      </w:r>
      <w:r w:rsidR="001C38A0" w:rsidRPr="00DC1621">
        <w:rPr>
          <w:rFonts w:cstheme="minorHAnsi"/>
        </w:rPr>
        <w:t>tzv.</w:t>
      </w:r>
      <w:r w:rsidRPr="00DC1621">
        <w:rPr>
          <w:rFonts w:cstheme="minorHAnsi"/>
        </w:rPr>
        <w:t xml:space="preserve"> mezera </w:t>
      </w:r>
      <w:r w:rsidR="00F22BBF" w:rsidRPr="00DC1621">
        <w:rPr>
          <w:rFonts w:cstheme="minorHAnsi"/>
        </w:rPr>
        <w:t>krytí – ekonomické</w:t>
      </w:r>
      <w:r w:rsidRPr="00DC1621">
        <w:rPr>
          <w:rFonts w:cstheme="minorHAnsi"/>
        </w:rPr>
        <w:t xml:space="preserve"> kritérium pro posouzení platební neschopnosti.</w:t>
      </w:r>
      <w:r w:rsidR="00DC6ADD" w:rsidRPr="00F01093">
        <w:rPr>
          <w:rFonts w:cstheme="minorHAnsi"/>
        </w:rPr>
        <w:t xml:space="preserve"> Její účel byl primárně jiný, ovšem s</w:t>
      </w:r>
      <w:r w:rsidR="004F6192" w:rsidRPr="00F01093">
        <w:rPr>
          <w:rFonts w:cstheme="minorHAnsi"/>
        </w:rPr>
        <w:t xml:space="preserve">tudie </w:t>
      </w:r>
      <w:r w:rsidR="00E93A7D" w:rsidRPr="000D649F">
        <w:rPr>
          <w:rFonts w:cstheme="minorHAnsi"/>
        </w:rPr>
        <w:t>V</w:t>
      </w:r>
      <w:r w:rsidR="001649F1">
        <w:rPr>
          <w:rFonts w:cstheme="minorHAnsi"/>
        </w:rPr>
        <w:t xml:space="preserve">ysoké školy ekonomické v Praze </w:t>
      </w:r>
      <w:r w:rsidR="00E93A7D" w:rsidRPr="001649F1">
        <w:rPr>
          <w:rFonts w:cstheme="minorHAnsi"/>
        </w:rPr>
        <w:t>dokládá</w:t>
      </w:r>
      <w:r w:rsidR="004F6192" w:rsidRPr="001649F1">
        <w:rPr>
          <w:rFonts w:cstheme="minorHAnsi"/>
        </w:rPr>
        <w:t xml:space="preserve">, že mezera krytí je </w:t>
      </w:r>
      <w:r w:rsidR="00992FCF" w:rsidRPr="001649F1">
        <w:rPr>
          <w:rFonts w:cstheme="minorHAnsi"/>
        </w:rPr>
        <w:t xml:space="preserve">též </w:t>
      </w:r>
      <w:r w:rsidR="004F6192" w:rsidRPr="001649F1">
        <w:rPr>
          <w:rFonts w:cstheme="minorHAnsi"/>
        </w:rPr>
        <w:t>významný</w:t>
      </w:r>
      <w:r w:rsidR="00992FCF" w:rsidRPr="001649F1">
        <w:rPr>
          <w:rFonts w:cstheme="minorHAnsi"/>
        </w:rPr>
        <w:t>m</w:t>
      </w:r>
      <w:r w:rsidR="004F6192" w:rsidRPr="001649F1">
        <w:rPr>
          <w:rFonts w:cstheme="minorHAnsi"/>
        </w:rPr>
        <w:t xml:space="preserve"> indikátor</w:t>
      </w:r>
      <w:r w:rsidR="00992FCF" w:rsidRPr="001649F1">
        <w:rPr>
          <w:rFonts w:cstheme="minorHAnsi"/>
        </w:rPr>
        <w:t>em</w:t>
      </w:r>
      <w:r w:rsidR="004F6192" w:rsidRPr="001649F1">
        <w:rPr>
          <w:rFonts w:cstheme="minorHAnsi"/>
        </w:rPr>
        <w:t xml:space="preserve"> budoucích insolvenčních </w:t>
      </w:r>
      <w:r w:rsidR="004D722E" w:rsidRPr="001649F1">
        <w:rPr>
          <w:rFonts w:cstheme="minorHAnsi"/>
        </w:rPr>
        <w:t>potíží</w:t>
      </w:r>
      <w:r w:rsidR="004F6192" w:rsidRPr="001649F1">
        <w:rPr>
          <w:rFonts w:cstheme="minorHAnsi"/>
        </w:rPr>
        <w:t xml:space="preserve"> firem</w:t>
      </w:r>
      <w:r w:rsidR="00427962" w:rsidRPr="001649F1">
        <w:rPr>
          <w:rFonts w:cstheme="minorHAnsi"/>
          <w:i/>
          <w:iCs/>
        </w:rPr>
        <w:t>.</w:t>
      </w:r>
    </w:p>
    <w:p w14:paraId="0F0D1FEA" w14:textId="1C3524DA" w:rsidR="003817EB" w:rsidRPr="000D649F" w:rsidRDefault="003817EB" w:rsidP="00E579E7">
      <w:pPr>
        <w:rPr>
          <w:rFonts w:cstheme="minorHAnsi"/>
          <w:b/>
          <w:bCs/>
        </w:rPr>
      </w:pPr>
      <w:r w:rsidRPr="000D649F">
        <w:rPr>
          <w:rFonts w:cstheme="minorHAnsi"/>
          <w:b/>
          <w:bCs/>
        </w:rPr>
        <w:t>VŠE: Firmy v ČR nedbají varovných signálů</w:t>
      </w:r>
    </w:p>
    <w:p w14:paraId="5D9F3EAF" w14:textId="199E2A8C" w:rsidR="003817EB" w:rsidRPr="00F323B4" w:rsidRDefault="00763D66" w:rsidP="00AF7074">
      <w:pPr>
        <w:rPr>
          <w:rFonts w:cstheme="minorHAnsi"/>
        </w:rPr>
      </w:pPr>
      <w:r>
        <w:rPr>
          <w:rFonts w:cstheme="minorHAnsi"/>
        </w:rPr>
        <w:t>Loňská a</w:t>
      </w:r>
      <w:r w:rsidR="00AF7074" w:rsidRPr="00763D66">
        <w:rPr>
          <w:rFonts w:cstheme="minorHAnsi"/>
        </w:rPr>
        <w:t xml:space="preserve">nalýza </w:t>
      </w:r>
      <w:r>
        <w:rPr>
          <w:rFonts w:cstheme="minorHAnsi"/>
        </w:rPr>
        <w:t xml:space="preserve">Jaroslava </w:t>
      </w:r>
      <w:proofErr w:type="spellStart"/>
      <w:r>
        <w:rPr>
          <w:rFonts w:cstheme="minorHAnsi"/>
        </w:rPr>
        <w:t>Schönfelda</w:t>
      </w:r>
      <w:proofErr w:type="spellEnd"/>
      <w:r>
        <w:rPr>
          <w:rFonts w:cstheme="minorHAnsi"/>
        </w:rPr>
        <w:t xml:space="preserve"> a Michala </w:t>
      </w:r>
      <w:proofErr w:type="spellStart"/>
      <w:r>
        <w:rPr>
          <w:rFonts w:cstheme="minorHAnsi"/>
        </w:rPr>
        <w:t>Kuděje</w:t>
      </w:r>
      <w:proofErr w:type="spellEnd"/>
      <w:r>
        <w:rPr>
          <w:rFonts w:cstheme="minorHAnsi"/>
        </w:rPr>
        <w:t xml:space="preserve"> z </w:t>
      </w:r>
      <w:r w:rsidR="0068287C" w:rsidRPr="00763D66">
        <w:rPr>
          <w:rFonts w:cstheme="minorHAnsi"/>
        </w:rPr>
        <w:t>VŠE</w:t>
      </w:r>
      <w:r w:rsidR="00003F72" w:rsidRPr="00763D66">
        <w:rPr>
          <w:rFonts w:cstheme="minorHAnsi"/>
        </w:rPr>
        <w:t xml:space="preserve"> </w:t>
      </w:r>
      <w:r w:rsidR="004F6192" w:rsidRPr="00763D66">
        <w:rPr>
          <w:rFonts w:cstheme="minorHAnsi"/>
        </w:rPr>
        <w:t xml:space="preserve">ukazuje </w:t>
      </w:r>
      <w:r w:rsidR="00AF7074" w:rsidRPr="00763D66">
        <w:rPr>
          <w:rFonts w:cstheme="minorHAnsi"/>
        </w:rPr>
        <w:t xml:space="preserve">na vzorku 1 </w:t>
      </w:r>
      <w:r w:rsidR="001C38A0" w:rsidRPr="00763D66">
        <w:rPr>
          <w:rFonts w:cstheme="minorHAnsi"/>
        </w:rPr>
        <w:t>684 podniků</w:t>
      </w:r>
      <w:r w:rsidR="00AF7074" w:rsidRPr="00763D66">
        <w:rPr>
          <w:rFonts w:cstheme="minorHAnsi"/>
        </w:rPr>
        <w:t xml:space="preserve"> (827 </w:t>
      </w:r>
      <w:r w:rsidR="00D93A1A" w:rsidRPr="00763D66">
        <w:rPr>
          <w:rFonts w:cstheme="minorHAnsi"/>
        </w:rPr>
        <w:t>bezproblémových a 827</w:t>
      </w:r>
      <w:r w:rsidR="00AF7074" w:rsidRPr="00763D66">
        <w:rPr>
          <w:rFonts w:cstheme="minorHAnsi"/>
        </w:rPr>
        <w:t xml:space="preserve"> v úpadku)</w:t>
      </w:r>
      <w:r w:rsidR="00D93A1A" w:rsidRPr="00763D66">
        <w:rPr>
          <w:rFonts w:cstheme="minorHAnsi"/>
        </w:rPr>
        <w:t>,</w:t>
      </w:r>
      <w:r w:rsidR="00AF7074" w:rsidRPr="00763D66">
        <w:rPr>
          <w:rFonts w:cstheme="minorHAnsi"/>
        </w:rPr>
        <w:t xml:space="preserve"> </w:t>
      </w:r>
      <w:r w:rsidR="004F6192" w:rsidRPr="00763D66">
        <w:rPr>
          <w:rFonts w:cstheme="minorHAnsi"/>
        </w:rPr>
        <w:t xml:space="preserve">že </w:t>
      </w:r>
      <w:r w:rsidR="00992FCF" w:rsidRPr="00763D66">
        <w:rPr>
          <w:rFonts w:cstheme="minorHAnsi"/>
        </w:rPr>
        <w:t>podniky, které skončily v </w:t>
      </w:r>
      <w:r w:rsidR="00AF7074" w:rsidRPr="00763D66">
        <w:rPr>
          <w:rFonts w:cstheme="minorHAnsi"/>
        </w:rPr>
        <w:t>úpadk</w:t>
      </w:r>
      <w:r w:rsidR="00992FCF" w:rsidRPr="00763D66">
        <w:rPr>
          <w:rFonts w:cstheme="minorHAnsi"/>
        </w:rPr>
        <w:t xml:space="preserve">u, </w:t>
      </w:r>
      <w:r w:rsidR="00AF7074" w:rsidRPr="00763D66">
        <w:rPr>
          <w:rFonts w:cstheme="minorHAnsi"/>
        </w:rPr>
        <w:t xml:space="preserve">vykazovaly ve všech </w:t>
      </w:r>
      <w:r w:rsidR="004F6192" w:rsidRPr="00763D66">
        <w:rPr>
          <w:rFonts w:cstheme="minorHAnsi"/>
        </w:rPr>
        <w:t>3</w:t>
      </w:r>
      <w:r w:rsidR="00AF7074" w:rsidRPr="00763D66">
        <w:rPr>
          <w:rFonts w:cstheme="minorHAnsi"/>
        </w:rPr>
        <w:t xml:space="preserve"> letech před zjištěním úpadku </w:t>
      </w:r>
      <w:r w:rsidR="00D93A1A" w:rsidRPr="00763D66">
        <w:rPr>
          <w:rFonts w:cstheme="minorHAnsi"/>
        </w:rPr>
        <w:t>mezeru krytí</w:t>
      </w:r>
      <w:r>
        <w:rPr>
          <w:rFonts w:cstheme="minorHAnsi"/>
        </w:rPr>
        <w:t xml:space="preserve">, </w:t>
      </w:r>
      <w:r w:rsidR="009C5A51">
        <w:rPr>
          <w:rFonts w:cstheme="minorHAnsi"/>
        </w:rPr>
        <w:t>jež</w:t>
      </w:r>
      <w:r>
        <w:rPr>
          <w:rFonts w:cstheme="minorHAnsi"/>
        </w:rPr>
        <w:t xml:space="preserve"> </w:t>
      </w:r>
      <w:r w:rsidR="00D93A1A" w:rsidRPr="00763D66">
        <w:rPr>
          <w:rFonts w:cstheme="minorHAnsi"/>
        </w:rPr>
        <w:t>výrazně převyš</w:t>
      </w:r>
      <w:r>
        <w:rPr>
          <w:rFonts w:cstheme="minorHAnsi"/>
        </w:rPr>
        <w:t>ovala</w:t>
      </w:r>
      <w:r w:rsidR="00D93A1A" w:rsidRPr="00763D66">
        <w:rPr>
          <w:rFonts w:cstheme="minorHAnsi"/>
        </w:rPr>
        <w:t xml:space="preserve"> toleranční hranici 10 %</w:t>
      </w:r>
      <w:r w:rsidR="00AF7074" w:rsidRPr="00763D66">
        <w:rPr>
          <w:rFonts w:cstheme="minorHAnsi"/>
        </w:rPr>
        <w:t xml:space="preserve"> </w:t>
      </w:r>
      <w:r w:rsidR="00D93A1A" w:rsidRPr="00763D66">
        <w:rPr>
          <w:rFonts w:cstheme="minorHAnsi"/>
        </w:rPr>
        <w:t>splatných závazků</w:t>
      </w:r>
      <w:r w:rsidR="00AF7074" w:rsidRPr="00763D66">
        <w:rPr>
          <w:rFonts w:cstheme="minorHAnsi"/>
        </w:rPr>
        <w:t xml:space="preserve">. S blížícím se okamžikem zjištění úpadku se pak </w:t>
      </w:r>
      <w:r w:rsidR="00896E43" w:rsidRPr="00763D66">
        <w:rPr>
          <w:rFonts w:cstheme="minorHAnsi"/>
        </w:rPr>
        <w:t xml:space="preserve">výskyt </w:t>
      </w:r>
      <w:r w:rsidR="00AF7074" w:rsidRPr="0063630F">
        <w:rPr>
          <w:rFonts w:cstheme="minorHAnsi"/>
        </w:rPr>
        <w:t>mezer</w:t>
      </w:r>
      <w:r w:rsidR="00896E43" w:rsidRPr="00AB60FC">
        <w:rPr>
          <w:rFonts w:cstheme="minorHAnsi"/>
        </w:rPr>
        <w:t>y</w:t>
      </w:r>
      <w:r w:rsidR="00AF7074" w:rsidRPr="00DC1621">
        <w:rPr>
          <w:rFonts w:cstheme="minorHAnsi"/>
        </w:rPr>
        <w:t xml:space="preserve"> krytí</w:t>
      </w:r>
      <w:r w:rsidR="00896E43" w:rsidRPr="00DC1621">
        <w:rPr>
          <w:rFonts w:cstheme="minorHAnsi"/>
        </w:rPr>
        <w:t xml:space="preserve"> nad toleranční hranicí</w:t>
      </w:r>
      <w:r w:rsidR="00AF7074" w:rsidRPr="00DC1621">
        <w:rPr>
          <w:rFonts w:cstheme="minorHAnsi"/>
        </w:rPr>
        <w:t xml:space="preserve"> </w:t>
      </w:r>
      <w:r w:rsidR="00B66A12" w:rsidRPr="00B66A12">
        <w:rPr>
          <w:rFonts w:cstheme="minorHAnsi"/>
        </w:rPr>
        <w:t>zvyšuje</w:t>
      </w:r>
      <w:r w:rsidR="00B66A12">
        <w:rPr>
          <w:rFonts w:cstheme="minorHAnsi"/>
        </w:rPr>
        <w:t xml:space="preserve"> – až</w:t>
      </w:r>
      <w:r w:rsidR="004F6192" w:rsidRPr="00F01093">
        <w:rPr>
          <w:rFonts w:cstheme="minorHAnsi"/>
        </w:rPr>
        <w:t xml:space="preserve"> na 87 % jeden rok před úpadkem</w:t>
      </w:r>
      <w:r w:rsidR="009C5A51">
        <w:rPr>
          <w:rFonts w:cstheme="minorHAnsi"/>
        </w:rPr>
        <w:t xml:space="preserve"> (tabulka níže)</w:t>
      </w:r>
      <w:r w:rsidR="00AF7074" w:rsidRPr="00F01093">
        <w:rPr>
          <w:rFonts w:cstheme="minorHAnsi"/>
        </w:rPr>
        <w:t xml:space="preserve">. To indikuje, že </w:t>
      </w:r>
      <w:r w:rsidR="00992FCF" w:rsidRPr="00F01093">
        <w:rPr>
          <w:rFonts w:cstheme="minorHAnsi"/>
        </w:rPr>
        <w:t>podniky v </w:t>
      </w:r>
      <w:r w:rsidR="00AF7074" w:rsidRPr="00F01093">
        <w:rPr>
          <w:rFonts w:cstheme="minorHAnsi"/>
        </w:rPr>
        <w:t>úpadk</w:t>
      </w:r>
      <w:r w:rsidR="00992FCF" w:rsidRPr="00F01093">
        <w:rPr>
          <w:rFonts w:cstheme="minorHAnsi"/>
        </w:rPr>
        <w:t xml:space="preserve">u </w:t>
      </w:r>
      <w:r w:rsidR="00AF7074" w:rsidRPr="00F01093">
        <w:rPr>
          <w:rFonts w:cstheme="minorHAnsi"/>
        </w:rPr>
        <w:t xml:space="preserve">měly již tři roky před </w:t>
      </w:r>
      <w:r w:rsidR="003817EB" w:rsidRPr="00F01093">
        <w:rPr>
          <w:rFonts w:cstheme="minorHAnsi"/>
        </w:rPr>
        <w:t>krachem</w:t>
      </w:r>
      <w:r w:rsidR="00AF7074" w:rsidRPr="00F01093">
        <w:rPr>
          <w:rFonts w:cstheme="minorHAnsi"/>
        </w:rPr>
        <w:t xml:space="preserve"> významné problémy s dodržováním splatnosti svých závazků</w:t>
      </w:r>
      <w:r w:rsidR="004613DF" w:rsidRPr="00F01093">
        <w:rPr>
          <w:rFonts w:cstheme="minorHAnsi"/>
        </w:rPr>
        <w:t>.</w:t>
      </w:r>
      <w:r w:rsidR="002B1BA9" w:rsidRPr="00802392">
        <w:rPr>
          <w:rFonts w:cstheme="minorHAnsi"/>
        </w:rPr>
        <w:t xml:space="preserve"> </w:t>
      </w:r>
      <w:r w:rsidR="002B1BA9" w:rsidRPr="00F323B4">
        <w:rPr>
          <w:rFonts w:cstheme="minorHAnsi"/>
          <w:i/>
          <w:iCs/>
        </w:rPr>
        <w:t>„</w:t>
      </w:r>
      <w:r>
        <w:rPr>
          <w:rFonts w:cstheme="minorHAnsi"/>
          <w:i/>
          <w:iCs/>
        </w:rPr>
        <w:t xml:space="preserve">Bohužel </w:t>
      </w:r>
      <w:r w:rsidR="002B1BA9" w:rsidRPr="00F323B4">
        <w:rPr>
          <w:rFonts w:cstheme="minorHAnsi"/>
          <w:i/>
          <w:iCs/>
        </w:rPr>
        <w:t xml:space="preserve">firmy s mezerou krytí a dalšími varovnými </w:t>
      </w:r>
      <w:r w:rsidR="00AB60FC">
        <w:rPr>
          <w:rFonts w:cstheme="minorHAnsi"/>
          <w:i/>
          <w:iCs/>
        </w:rPr>
        <w:t xml:space="preserve">signály </w:t>
      </w:r>
      <w:r>
        <w:rPr>
          <w:rFonts w:cstheme="minorHAnsi"/>
          <w:i/>
          <w:iCs/>
        </w:rPr>
        <w:t>jako je</w:t>
      </w:r>
      <w:r w:rsidR="002B1BA9" w:rsidRPr="00F323B4">
        <w:rPr>
          <w:rFonts w:cstheme="minorHAnsi"/>
          <w:i/>
          <w:iCs/>
        </w:rPr>
        <w:t xml:space="preserve"> zadluženost</w:t>
      </w:r>
      <w:r>
        <w:rPr>
          <w:rFonts w:cstheme="minorHAnsi"/>
          <w:i/>
          <w:iCs/>
        </w:rPr>
        <w:t xml:space="preserve"> </w:t>
      </w:r>
      <w:r w:rsidR="00AB60FC">
        <w:rPr>
          <w:rFonts w:cstheme="minorHAnsi"/>
          <w:i/>
          <w:iCs/>
        </w:rPr>
        <w:t xml:space="preserve">či provozní výkonnost </w:t>
      </w:r>
      <w:r w:rsidR="002B1BA9" w:rsidRPr="00F323B4">
        <w:rPr>
          <w:rFonts w:cstheme="minorHAnsi"/>
          <w:i/>
          <w:iCs/>
        </w:rPr>
        <w:t xml:space="preserve">málo pracují. </w:t>
      </w:r>
      <w:r>
        <w:rPr>
          <w:rFonts w:cstheme="minorHAnsi"/>
          <w:i/>
          <w:iCs/>
        </w:rPr>
        <w:t>V</w:t>
      </w:r>
      <w:r w:rsidR="002B1BA9" w:rsidRPr="00F323B4">
        <w:rPr>
          <w:rFonts w:cstheme="minorHAnsi"/>
          <w:i/>
          <w:iCs/>
        </w:rPr>
        <w:t xml:space="preserve">čas </w:t>
      </w:r>
      <w:r>
        <w:rPr>
          <w:rFonts w:cstheme="minorHAnsi"/>
          <w:i/>
          <w:iCs/>
        </w:rPr>
        <w:t xml:space="preserve">si </w:t>
      </w:r>
      <w:r w:rsidR="002B1BA9" w:rsidRPr="00F323B4">
        <w:rPr>
          <w:rFonts w:cstheme="minorHAnsi"/>
          <w:i/>
          <w:iCs/>
        </w:rPr>
        <w:t>neuvědomí, že se nad jejich firmou stahují mračna</w:t>
      </w:r>
      <w:r w:rsidR="00125DBC" w:rsidRPr="00F323B4">
        <w:rPr>
          <w:rFonts w:cstheme="minorHAnsi"/>
          <w:i/>
          <w:iCs/>
        </w:rPr>
        <w:t>,</w:t>
      </w:r>
      <w:r w:rsidR="002B1BA9" w:rsidRPr="00F323B4">
        <w:rPr>
          <w:rFonts w:cstheme="minorHAnsi"/>
          <w:i/>
          <w:iCs/>
        </w:rPr>
        <w:t>“</w:t>
      </w:r>
      <w:r w:rsidR="00125DBC" w:rsidRPr="00F323B4">
        <w:rPr>
          <w:rFonts w:cstheme="minorHAnsi"/>
        </w:rPr>
        <w:t xml:space="preserve"> říká </w:t>
      </w:r>
      <w:r w:rsidR="00125DBC" w:rsidRPr="00F323B4">
        <w:rPr>
          <w:rFonts w:cstheme="minorHAnsi"/>
          <w:b/>
          <w:bCs/>
        </w:rPr>
        <w:t xml:space="preserve">Ing. Jaroslav Schönfeld, </w:t>
      </w:r>
      <w:proofErr w:type="spellStart"/>
      <w:r w:rsidR="00125DBC" w:rsidRPr="00F323B4">
        <w:rPr>
          <w:rFonts w:cstheme="minorHAnsi"/>
          <w:b/>
          <w:bCs/>
        </w:rPr>
        <w:t>Ph</w:t>
      </w:r>
      <w:proofErr w:type="spellEnd"/>
      <w:r w:rsidR="00125DBC" w:rsidRPr="00F323B4">
        <w:rPr>
          <w:rFonts w:cstheme="minorHAnsi"/>
          <w:b/>
          <w:bCs/>
        </w:rPr>
        <w:t>. D</w:t>
      </w:r>
      <w:r w:rsidR="00125DBC" w:rsidRPr="00F323B4">
        <w:rPr>
          <w:rFonts w:cstheme="minorHAnsi"/>
        </w:rPr>
        <w:t>.</w:t>
      </w:r>
      <w:r w:rsidR="001649F1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8D066D">
        <w:rPr>
          <w:rFonts w:cstheme="minorHAnsi"/>
        </w:rPr>
        <w:t>akademický ředitel</w:t>
      </w:r>
      <w:r>
        <w:rPr>
          <w:rFonts w:cstheme="minorHAnsi"/>
        </w:rPr>
        <w:t xml:space="preserve"> </w:t>
      </w:r>
      <w:r>
        <w:t xml:space="preserve">Centra restrukturalizace a insolvence Harryho </w:t>
      </w:r>
      <w:proofErr w:type="spellStart"/>
      <w:r>
        <w:t>Pollaka</w:t>
      </w:r>
      <w:proofErr w:type="spellEnd"/>
      <w:r>
        <w:t xml:space="preserve"> na VŠE</w:t>
      </w:r>
      <w:r w:rsidR="00054663">
        <w:t xml:space="preserve"> a člen správní rady TMA ČR</w:t>
      </w:r>
      <w:r>
        <w:t>.</w:t>
      </w:r>
    </w:p>
    <w:p w14:paraId="5888DCA9" w14:textId="4134B690" w:rsidR="000F78D2" w:rsidRPr="00F323B4" w:rsidRDefault="003817EB" w:rsidP="00AF7074">
      <w:pPr>
        <w:rPr>
          <w:rFonts w:cstheme="minorHAnsi"/>
        </w:rPr>
      </w:pPr>
      <w:r w:rsidRPr="00F323B4">
        <w:rPr>
          <w:rFonts w:cstheme="minorHAnsi"/>
          <w:noProof/>
        </w:rPr>
        <w:drawing>
          <wp:inline distT="0" distB="0" distL="0" distR="0" wp14:anchorId="1E4C76E0" wp14:editId="76792A91">
            <wp:extent cx="5753100" cy="1386840"/>
            <wp:effectExtent l="0" t="0" r="0" b="3810"/>
            <wp:docPr id="3" name="Obrázek 3" descr="Obsah obrázku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stů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7074" w:rsidRPr="00F323B4">
        <w:rPr>
          <w:rFonts w:cstheme="minorHAnsi"/>
        </w:rPr>
        <w:t xml:space="preserve"> </w:t>
      </w:r>
    </w:p>
    <w:p w14:paraId="5B54D95A" w14:textId="77777777" w:rsidR="001C38A0" w:rsidRPr="00F323B4" w:rsidRDefault="001C38A0" w:rsidP="001C38A0">
      <w:pPr>
        <w:jc w:val="right"/>
        <w:rPr>
          <w:rFonts w:cstheme="minorHAnsi"/>
          <w:sz w:val="18"/>
          <w:szCs w:val="18"/>
        </w:rPr>
      </w:pPr>
      <w:r w:rsidRPr="00F323B4">
        <w:rPr>
          <w:rFonts w:cstheme="minorHAnsi"/>
          <w:sz w:val="18"/>
          <w:szCs w:val="18"/>
        </w:rPr>
        <w:t>Zdroj: VŠE</w:t>
      </w:r>
    </w:p>
    <w:p w14:paraId="6AA676D9" w14:textId="1CEB5D66" w:rsidR="003817EB" w:rsidRPr="00F323B4" w:rsidRDefault="003817EB" w:rsidP="005732B2">
      <w:pPr>
        <w:rPr>
          <w:rFonts w:cstheme="minorHAnsi"/>
          <w:b/>
          <w:bCs/>
        </w:rPr>
      </w:pPr>
      <w:r w:rsidRPr="00F323B4">
        <w:rPr>
          <w:rFonts w:cstheme="minorHAnsi"/>
          <w:b/>
          <w:bCs/>
        </w:rPr>
        <w:t xml:space="preserve">Řešení: </w:t>
      </w:r>
      <w:r w:rsidR="00CB0241" w:rsidRPr="00F323B4">
        <w:rPr>
          <w:rFonts w:cstheme="minorHAnsi"/>
          <w:b/>
          <w:bCs/>
        </w:rPr>
        <w:t>Přijetí evropské legislativy</w:t>
      </w:r>
      <w:r w:rsidR="002B1BA9" w:rsidRPr="00F323B4">
        <w:rPr>
          <w:rFonts w:cstheme="minorHAnsi"/>
          <w:b/>
          <w:bCs/>
        </w:rPr>
        <w:t xml:space="preserve"> a </w:t>
      </w:r>
      <w:r w:rsidR="001649F1">
        <w:rPr>
          <w:rFonts w:cstheme="minorHAnsi"/>
          <w:b/>
          <w:bCs/>
        </w:rPr>
        <w:t>„Semafor“ od VŠE</w:t>
      </w:r>
    </w:p>
    <w:p w14:paraId="4CF6E0A3" w14:textId="1ADA3A0A" w:rsidR="00777B3F" w:rsidRPr="00F323B4" w:rsidRDefault="00CA6436" w:rsidP="00777B3F">
      <w:pPr>
        <w:rPr>
          <w:rFonts w:cstheme="minorHAnsi"/>
        </w:rPr>
      </w:pPr>
      <w:r w:rsidRPr="00763D66">
        <w:rPr>
          <w:rFonts w:cstheme="minorHAnsi"/>
        </w:rPr>
        <w:t xml:space="preserve">Česká implementace restrukturalizační směrnice EU 2019/1023 </w:t>
      </w:r>
      <w:r w:rsidR="002B1BA9" w:rsidRPr="00763D66">
        <w:rPr>
          <w:rFonts w:cstheme="minorHAnsi"/>
        </w:rPr>
        <w:t>má přinést dlouho vítanou nadstavbu</w:t>
      </w:r>
      <w:r w:rsidR="00F323B4">
        <w:rPr>
          <w:rFonts w:cstheme="minorHAnsi"/>
        </w:rPr>
        <w:t xml:space="preserve"> </w:t>
      </w:r>
      <w:r w:rsidR="002B1BA9" w:rsidRPr="00F323B4">
        <w:rPr>
          <w:rFonts w:cstheme="minorHAnsi"/>
        </w:rPr>
        <w:t xml:space="preserve">stávajícímu </w:t>
      </w:r>
      <w:r w:rsidR="00763D66">
        <w:rPr>
          <w:rFonts w:cstheme="minorHAnsi"/>
        </w:rPr>
        <w:t>I</w:t>
      </w:r>
      <w:r w:rsidR="00895DDE" w:rsidRPr="00F323B4">
        <w:rPr>
          <w:rFonts w:cstheme="minorHAnsi"/>
        </w:rPr>
        <w:t>nsolvenčnímu zákonu</w:t>
      </w:r>
      <w:r w:rsidR="00125DBC" w:rsidRPr="00F323B4">
        <w:rPr>
          <w:rFonts w:cstheme="minorHAnsi"/>
        </w:rPr>
        <w:t xml:space="preserve">. Přinese </w:t>
      </w:r>
      <w:r w:rsidR="00777B3F" w:rsidRPr="00763D66">
        <w:rPr>
          <w:rFonts w:cstheme="minorHAnsi"/>
        </w:rPr>
        <w:t xml:space="preserve">více </w:t>
      </w:r>
      <w:r w:rsidR="00125DBC" w:rsidRPr="00763D66">
        <w:rPr>
          <w:rFonts w:cstheme="minorHAnsi"/>
        </w:rPr>
        <w:t>nástroj</w:t>
      </w:r>
      <w:r w:rsidR="00777B3F" w:rsidRPr="00763D66">
        <w:rPr>
          <w:rFonts w:cstheme="minorHAnsi"/>
        </w:rPr>
        <w:t>ů</w:t>
      </w:r>
      <w:r w:rsidR="00125DBC" w:rsidRPr="00763D66">
        <w:rPr>
          <w:rFonts w:cstheme="minorHAnsi"/>
        </w:rPr>
        <w:t xml:space="preserve"> včasného varování</w:t>
      </w:r>
      <w:r w:rsidR="00763D66">
        <w:rPr>
          <w:rFonts w:cstheme="minorHAnsi"/>
        </w:rPr>
        <w:t xml:space="preserve"> a m</w:t>
      </w:r>
      <w:r w:rsidR="00125DBC" w:rsidRPr="00763D66">
        <w:rPr>
          <w:rFonts w:cstheme="minorHAnsi"/>
        </w:rPr>
        <w:t>anagement bude mít přístup k</w:t>
      </w:r>
      <w:r w:rsidR="00777B3F" w:rsidRPr="00763D66">
        <w:rPr>
          <w:rFonts w:cstheme="minorHAnsi"/>
        </w:rPr>
        <w:t xml:space="preserve"> více </w:t>
      </w:r>
      <w:r w:rsidR="00125DBC" w:rsidRPr="00763D66">
        <w:rPr>
          <w:rFonts w:cstheme="minorHAnsi"/>
        </w:rPr>
        <w:t xml:space="preserve">indikátorům finančního ohrožení firmy, na jejichž základě </w:t>
      </w:r>
      <w:r w:rsidR="00763D66">
        <w:rPr>
          <w:rFonts w:cstheme="minorHAnsi"/>
        </w:rPr>
        <w:t>může</w:t>
      </w:r>
      <w:r w:rsidR="00125DBC" w:rsidRPr="00763D66">
        <w:rPr>
          <w:rFonts w:cstheme="minorHAnsi"/>
        </w:rPr>
        <w:t xml:space="preserve"> rozpoznat finanční </w:t>
      </w:r>
      <w:r w:rsidR="00F95C55">
        <w:rPr>
          <w:rFonts w:cstheme="minorHAnsi"/>
        </w:rPr>
        <w:t>obtíže</w:t>
      </w:r>
      <w:r w:rsidR="00F323B4">
        <w:rPr>
          <w:rFonts w:cstheme="minorHAnsi"/>
        </w:rPr>
        <w:t xml:space="preserve"> a předejít </w:t>
      </w:r>
      <w:r w:rsidR="00125DBC" w:rsidRPr="00F323B4">
        <w:rPr>
          <w:rFonts w:cstheme="minorHAnsi"/>
        </w:rPr>
        <w:t>insolvenční</w:t>
      </w:r>
      <w:r w:rsidR="00F323B4">
        <w:rPr>
          <w:rFonts w:cstheme="minorHAnsi"/>
        </w:rPr>
        <w:t>mu</w:t>
      </w:r>
      <w:r w:rsidR="00125DBC" w:rsidRPr="00F323B4">
        <w:rPr>
          <w:rFonts w:cstheme="minorHAnsi"/>
        </w:rPr>
        <w:t xml:space="preserve"> řízení</w:t>
      </w:r>
      <w:r w:rsidR="00777B3F" w:rsidRPr="00F323B4">
        <w:rPr>
          <w:rFonts w:cstheme="minorHAnsi"/>
        </w:rPr>
        <w:t>.</w:t>
      </w:r>
    </w:p>
    <w:p w14:paraId="1D756633" w14:textId="02A39493" w:rsidR="00802392" w:rsidRDefault="001649F1" w:rsidP="005732B2">
      <w:pPr>
        <w:rPr>
          <w:rFonts w:cstheme="minorHAnsi"/>
          <w:color w:val="201F1E"/>
        </w:rPr>
      </w:pPr>
      <w:r>
        <w:rPr>
          <w:rFonts w:cstheme="minorHAnsi"/>
          <w:i/>
          <w:iCs/>
        </w:rPr>
        <w:t>„</w:t>
      </w:r>
      <w:r w:rsidR="00FB3E94">
        <w:rPr>
          <w:rFonts w:cstheme="minorHAnsi"/>
          <w:i/>
          <w:iCs/>
        </w:rPr>
        <w:t>Michal</w:t>
      </w:r>
      <w:r w:rsidR="00FF1A4E">
        <w:rPr>
          <w:rFonts w:cstheme="minorHAnsi"/>
          <w:i/>
          <w:iCs/>
        </w:rPr>
        <w:t xml:space="preserve"> Kuděj s kolegy z</w:t>
      </w:r>
      <w:r w:rsidR="00F01093">
        <w:rPr>
          <w:rFonts w:cstheme="minorHAnsi"/>
          <w:i/>
          <w:iCs/>
        </w:rPr>
        <w:t xml:space="preserve"> VŠE</w:t>
      </w:r>
      <w:r w:rsidR="00FB3E94">
        <w:rPr>
          <w:rFonts w:cstheme="minorHAnsi"/>
          <w:i/>
          <w:iCs/>
        </w:rPr>
        <w:t xml:space="preserve"> vytvořil</w:t>
      </w:r>
      <w:r w:rsidR="00125DBC" w:rsidRPr="00F323B4">
        <w:rPr>
          <w:rFonts w:cstheme="minorHAnsi"/>
          <w:i/>
          <w:iCs/>
          <w:color w:val="201F1E"/>
        </w:rPr>
        <w:t xml:space="preserve"> </w:t>
      </w:r>
      <w:r w:rsidR="00F01093" w:rsidRPr="00F01093">
        <w:rPr>
          <w:rFonts w:cstheme="minorHAnsi"/>
          <w:i/>
          <w:iCs/>
        </w:rPr>
        <w:t>Systém včasných varovných signálů</w:t>
      </w:r>
      <w:r w:rsidR="00895DDE" w:rsidRPr="00F01093">
        <w:rPr>
          <w:rFonts w:cstheme="minorHAnsi"/>
          <w:i/>
          <w:iCs/>
          <w:color w:val="201F1E"/>
        </w:rPr>
        <w:t>,</w:t>
      </w:r>
      <w:r w:rsidR="00895DDE" w:rsidRPr="00F323B4">
        <w:rPr>
          <w:rFonts w:cstheme="minorHAnsi"/>
          <w:i/>
          <w:iCs/>
          <w:color w:val="201F1E"/>
        </w:rPr>
        <w:t xml:space="preserve"> který pracuje se vstupními daty z účetních závěrek</w:t>
      </w:r>
      <w:r w:rsidR="00FF1A4E">
        <w:rPr>
          <w:rFonts w:cstheme="minorHAnsi"/>
          <w:i/>
          <w:iCs/>
          <w:color w:val="201F1E"/>
        </w:rPr>
        <w:t>. Tento systém by měl být pro podnikatele uživatelsky jednoduchý</w:t>
      </w:r>
      <w:r w:rsidR="00FB3E94">
        <w:rPr>
          <w:rFonts w:cstheme="minorHAnsi"/>
          <w:i/>
          <w:iCs/>
          <w:color w:val="201F1E"/>
        </w:rPr>
        <w:t>,</w:t>
      </w:r>
      <w:r w:rsidR="00FF1A4E">
        <w:rPr>
          <w:rFonts w:cstheme="minorHAnsi"/>
          <w:i/>
          <w:iCs/>
          <w:color w:val="201F1E"/>
        </w:rPr>
        <w:t xml:space="preserve"> veřejně přístupný a </w:t>
      </w:r>
      <w:r w:rsidR="00FB3E94">
        <w:rPr>
          <w:rFonts w:cstheme="minorHAnsi"/>
          <w:i/>
          <w:iCs/>
          <w:color w:val="201F1E"/>
        </w:rPr>
        <w:t xml:space="preserve">měl by </w:t>
      </w:r>
      <w:r w:rsidR="00FF1A4E">
        <w:rPr>
          <w:rFonts w:cstheme="minorHAnsi"/>
          <w:i/>
          <w:iCs/>
          <w:color w:val="201F1E"/>
        </w:rPr>
        <w:t xml:space="preserve">poskytnout </w:t>
      </w:r>
      <w:r w:rsidR="00FB3E94">
        <w:rPr>
          <w:rFonts w:cstheme="minorHAnsi"/>
          <w:i/>
          <w:iCs/>
          <w:color w:val="201F1E"/>
        </w:rPr>
        <w:t>jasnou informaci</w:t>
      </w:r>
      <w:r w:rsidR="00F95C55">
        <w:rPr>
          <w:rFonts w:cstheme="minorHAnsi"/>
          <w:i/>
          <w:iCs/>
          <w:color w:val="201F1E"/>
        </w:rPr>
        <w:t xml:space="preserve"> o možném </w:t>
      </w:r>
      <w:r>
        <w:rPr>
          <w:rFonts w:cstheme="minorHAnsi"/>
          <w:i/>
          <w:iCs/>
          <w:color w:val="201F1E"/>
        </w:rPr>
        <w:t>úpadku</w:t>
      </w:r>
      <w:r w:rsidR="00F01093">
        <w:rPr>
          <w:rFonts w:cstheme="minorHAnsi"/>
          <w:i/>
          <w:iCs/>
          <w:color w:val="201F1E"/>
        </w:rPr>
        <w:t xml:space="preserve">. </w:t>
      </w:r>
      <w:r w:rsidR="00D004FC">
        <w:rPr>
          <w:rFonts w:cstheme="minorHAnsi"/>
          <w:i/>
          <w:iCs/>
          <w:color w:val="201F1E"/>
        </w:rPr>
        <w:t>V</w:t>
      </w:r>
      <w:r w:rsidR="00F01093">
        <w:rPr>
          <w:rFonts w:cstheme="minorHAnsi"/>
          <w:i/>
          <w:iCs/>
          <w:color w:val="201F1E"/>
        </w:rPr>
        <w:t>e výsledku</w:t>
      </w:r>
      <w:r w:rsidR="00D004FC">
        <w:rPr>
          <w:rFonts w:cstheme="minorHAnsi"/>
          <w:i/>
          <w:iCs/>
          <w:color w:val="201F1E"/>
        </w:rPr>
        <w:t xml:space="preserve"> má systém podobu </w:t>
      </w:r>
      <w:r w:rsidR="00F95C55">
        <w:rPr>
          <w:rFonts w:cstheme="minorHAnsi"/>
          <w:i/>
          <w:iCs/>
          <w:color w:val="201F1E"/>
        </w:rPr>
        <w:t xml:space="preserve">semaforu, kde </w:t>
      </w:r>
      <w:r w:rsidR="00125DBC" w:rsidRPr="00F323B4">
        <w:rPr>
          <w:rFonts w:cstheme="minorHAnsi"/>
          <w:i/>
          <w:iCs/>
          <w:color w:val="201F1E"/>
        </w:rPr>
        <w:t xml:space="preserve">červená </w:t>
      </w:r>
      <w:r w:rsidR="00802392">
        <w:rPr>
          <w:rFonts w:cstheme="minorHAnsi"/>
          <w:i/>
          <w:iCs/>
          <w:color w:val="201F1E"/>
        </w:rPr>
        <w:t>indikuje</w:t>
      </w:r>
      <w:r w:rsidR="00125DBC" w:rsidRPr="00F323B4">
        <w:rPr>
          <w:rFonts w:cstheme="minorHAnsi"/>
          <w:i/>
          <w:iCs/>
          <w:color w:val="201F1E"/>
        </w:rPr>
        <w:t xml:space="preserve"> finanční problémy</w:t>
      </w:r>
      <w:r w:rsidR="00FB3E94">
        <w:rPr>
          <w:rFonts w:cstheme="minorHAnsi"/>
          <w:i/>
          <w:iCs/>
          <w:color w:val="201F1E"/>
        </w:rPr>
        <w:t xml:space="preserve"> a možné</w:t>
      </w:r>
      <w:r w:rsidR="00FF1A4E">
        <w:rPr>
          <w:rFonts w:cstheme="minorHAnsi"/>
          <w:i/>
          <w:iCs/>
          <w:color w:val="201F1E"/>
        </w:rPr>
        <w:t xml:space="preserve"> ohrožení dalšího chodu </w:t>
      </w:r>
      <w:r w:rsidR="00F95C55">
        <w:rPr>
          <w:rFonts w:cstheme="minorHAnsi"/>
          <w:i/>
          <w:iCs/>
          <w:color w:val="201F1E"/>
        </w:rPr>
        <w:t>podniku</w:t>
      </w:r>
      <w:r w:rsidR="00F01093">
        <w:rPr>
          <w:rFonts w:cstheme="minorHAnsi"/>
          <w:i/>
          <w:iCs/>
          <w:color w:val="201F1E"/>
        </w:rPr>
        <w:t>. O</w:t>
      </w:r>
      <w:r w:rsidR="00125DBC" w:rsidRPr="00F323B4">
        <w:rPr>
          <w:rFonts w:cstheme="minorHAnsi"/>
          <w:i/>
          <w:iCs/>
          <w:color w:val="201F1E"/>
        </w:rPr>
        <w:t xml:space="preserve">ranžová </w:t>
      </w:r>
      <w:r w:rsidR="00802392">
        <w:rPr>
          <w:rFonts w:cstheme="minorHAnsi"/>
          <w:i/>
          <w:iCs/>
          <w:color w:val="201F1E"/>
        </w:rPr>
        <w:t>značí</w:t>
      </w:r>
      <w:r w:rsidR="00F01093">
        <w:rPr>
          <w:rFonts w:cstheme="minorHAnsi"/>
          <w:i/>
          <w:iCs/>
          <w:color w:val="201F1E"/>
        </w:rPr>
        <w:t xml:space="preserve"> </w:t>
      </w:r>
      <w:r w:rsidR="00777B3F" w:rsidRPr="00F323B4">
        <w:rPr>
          <w:rFonts w:cstheme="minorHAnsi"/>
          <w:i/>
          <w:iCs/>
          <w:color w:val="201F1E"/>
        </w:rPr>
        <w:t>nutnou obezřetnost a zelen</w:t>
      </w:r>
      <w:r w:rsidR="00763D66">
        <w:rPr>
          <w:rFonts w:cstheme="minorHAnsi"/>
          <w:i/>
          <w:iCs/>
          <w:color w:val="201F1E"/>
        </w:rPr>
        <w:t>á</w:t>
      </w:r>
      <w:r w:rsidR="00777B3F" w:rsidRPr="00F323B4">
        <w:rPr>
          <w:rFonts w:cstheme="minorHAnsi"/>
          <w:i/>
          <w:iCs/>
          <w:color w:val="201F1E"/>
        </w:rPr>
        <w:t xml:space="preserve">, že </w:t>
      </w:r>
      <w:r w:rsidR="00763D66">
        <w:rPr>
          <w:rFonts w:cstheme="minorHAnsi"/>
          <w:i/>
          <w:iCs/>
          <w:color w:val="201F1E"/>
        </w:rPr>
        <w:t xml:space="preserve">je </w:t>
      </w:r>
      <w:r w:rsidR="00F95C55">
        <w:rPr>
          <w:rFonts w:cstheme="minorHAnsi"/>
          <w:i/>
          <w:iCs/>
          <w:color w:val="201F1E"/>
        </w:rPr>
        <w:t>podnik</w:t>
      </w:r>
      <w:r w:rsidR="00777B3F" w:rsidRPr="00F323B4">
        <w:rPr>
          <w:rFonts w:cstheme="minorHAnsi"/>
          <w:i/>
          <w:iCs/>
          <w:color w:val="201F1E"/>
        </w:rPr>
        <w:t xml:space="preserve"> v dobré kondici. </w:t>
      </w:r>
      <w:r w:rsidR="00FB3E94">
        <w:rPr>
          <w:rFonts w:cstheme="minorHAnsi"/>
          <w:i/>
          <w:iCs/>
          <w:color w:val="201F1E"/>
        </w:rPr>
        <w:t xml:space="preserve">Červená barva </w:t>
      </w:r>
      <w:r w:rsidR="00F95C55">
        <w:rPr>
          <w:rFonts w:cstheme="minorHAnsi"/>
          <w:i/>
          <w:iCs/>
          <w:color w:val="201F1E"/>
        </w:rPr>
        <w:t>tak</w:t>
      </w:r>
      <w:r w:rsidR="00FB3E94">
        <w:rPr>
          <w:rFonts w:cstheme="minorHAnsi"/>
          <w:i/>
          <w:iCs/>
          <w:color w:val="201F1E"/>
        </w:rPr>
        <w:t xml:space="preserve"> indikuje situaci, která vyžaduje bezodkladnou obchodní a finanční analýzu za účelem potvrzení či vyvrácení varování a přijmutí adekvátních opatření k překonání krize,</w:t>
      </w:r>
      <w:r w:rsidR="00777B3F" w:rsidRPr="00F323B4">
        <w:rPr>
          <w:rFonts w:cstheme="minorHAnsi"/>
          <w:i/>
          <w:iCs/>
          <w:color w:val="201F1E"/>
        </w:rPr>
        <w:t>“</w:t>
      </w:r>
      <w:r w:rsidR="00777B3F" w:rsidRPr="00F323B4">
        <w:rPr>
          <w:rFonts w:cstheme="minorHAnsi"/>
          <w:color w:val="201F1E"/>
        </w:rPr>
        <w:t xml:space="preserve"> říká Jaroslav Schönfeld.</w:t>
      </w:r>
    </w:p>
    <w:p w14:paraId="5D948AB0" w14:textId="77777777" w:rsidR="00802392" w:rsidRDefault="00802392" w:rsidP="005732B2">
      <w:pPr>
        <w:rPr>
          <w:rFonts w:cstheme="minorHAnsi"/>
          <w:color w:val="201F1E"/>
        </w:rPr>
      </w:pPr>
    </w:p>
    <w:p w14:paraId="694DBA51" w14:textId="77777777" w:rsidR="00802392" w:rsidRDefault="00802392" w:rsidP="005732B2">
      <w:pPr>
        <w:rPr>
          <w:rFonts w:cstheme="minorHAnsi"/>
          <w:color w:val="201F1E"/>
        </w:rPr>
      </w:pPr>
    </w:p>
    <w:p w14:paraId="0475B74D" w14:textId="77777777" w:rsidR="00802392" w:rsidRDefault="00802392" w:rsidP="005732B2">
      <w:pPr>
        <w:rPr>
          <w:rFonts w:cstheme="minorHAnsi"/>
          <w:color w:val="201F1E"/>
        </w:rPr>
      </w:pPr>
    </w:p>
    <w:p w14:paraId="0D0AE88D" w14:textId="77777777" w:rsidR="00BA7369" w:rsidRDefault="00802392" w:rsidP="005732B2">
      <w:pPr>
        <w:rPr>
          <w:rFonts w:cstheme="minorHAnsi"/>
        </w:rPr>
      </w:pPr>
      <w:r>
        <w:rPr>
          <w:rFonts w:cstheme="minorHAnsi"/>
        </w:rPr>
        <w:br/>
      </w:r>
      <w:r w:rsidR="00E93A7D" w:rsidRPr="00F323B4">
        <w:rPr>
          <w:rFonts w:cstheme="minorHAnsi"/>
        </w:rPr>
        <w:t xml:space="preserve">Od restrukturalizační směrnice si hodně slibuje i poradenská firma PwC. </w:t>
      </w:r>
    </w:p>
    <w:p w14:paraId="1447C8BB" w14:textId="59E14186" w:rsidR="00E84DC2" w:rsidRPr="00763D66" w:rsidRDefault="00777B3F" w:rsidP="005732B2">
      <w:pPr>
        <w:rPr>
          <w:rFonts w:cstheme="minorHAnsi"/>
        </w:rPr>
      </w:pPr>
      <w:r w:rsidRPr="00F323B4">
        <w:rPr>
          <w:rFonts w:cstheme="minorHAnsi"/>
          <w:i/>
          <w:iCs/>
        </w:rPr>
        <w:t>„</w:t>
      </w:r>
      <w:r w:rsidR="00AE18E9" w:rsidRPr="00F323B4">
        <w:rPr>
          <w:rFonts w:cstheme="minorHAnsi"/>
          <w:i/>
          <w:iCs/>
        </w:rPr>
        <w:t xml:space="preserve">Pokud by </w:t>
      </w:r>
      <w:r w:rsidR="00763D66">
        <w:rPr>
          <w:rFonts w:cstheme="minorHAnsi"/>
          <w:i/>
          <w:iCs/>
        </w:rPr>
        <w:t xml:space="preserve">vešla v </w:t>
      </w:r>
      <w:r w:rsidR="00AE18E9" w:rsidRPr="00F323B4">
        <w:rPr>
          <w:rFonts w:cstheme="minorHAnsi"/>
          <w:i/>
          <w:iCs/>
        </w:rPr>
        <w:t>plat</w:t>
      </w:r>
      <w:r w:rsidR="00763D66">
        <w:rPr>
          <w:rFonts w:cstheme="minorHAnsi"/>
          <w:i/>
          <w:iCs/>
        </w:rPr>
        <w:t>nost</w:t>
      </w:r>
      <w:r w:rsidR="00AF7074" w:rsidRPr="00F323B4">
        <w:rPr>
          <w:rFonts w:cstheme="minorHAnsi"/>
          <w:i/>
          <w:iCs/>
        </w:rPr>
        <w:t xml:space="preserve">, </w:t>
      </w:r>
      <w:r w:rsidR="00AE18E9" w:rsidRPr="00F323B4">
        <w:rPr>
          <w:rFonts w:cstheme="minorHAnsi"/>
          <w:i/>
          <w:iCs/>
        </w:rPr>
        <w:t xml:space="preserve">tak </w:t>
      </w:r>
      <w:r w:rsidR="00AF7074" w:rsidRPr="00F323B4">
        <w:rPr>
          <w:rFonts w:cstheme="minorHAnsi"/>
          <w:i/>
          <w:iCs/>
        </w:rPr>
        <w:t>podle m</w:t>
      </w:r>
      <w:r w:rsidR="004613DF" w:rsidRPr="00F323B4">
        <w:rPr>
          <w:rFonts w:cstheme="minorHAnsi"/>
          <w:i/>
          <w:iCs/>
        </w:rPr>
        <w:t xml:space="preserve">ých </w:t>
      </w:r>
      <w:r w:rsidR="00AF7074" w:rsidRPr="00F323B4">
        <w:rPr>
          <w:rFonts w:cstheme="minorHAnsi"/>
          <w:i/>
          <w:iCs/>
        </w:rPr>
        <w:t>zkušenost</w:t>
      </w:r>
      <w:r w:rsidR="004613DF" w:rsidRPr="00F323B4">
        <w:rPr>
          <w:rFonts w:cstheme="minorHAnsi"/>
          <w:i/>
          <w:iCs/>
        </w:rPr>
        <w:t>í</w:t>
      </w:r>
      <w:r w:rsidR="00AF7074" w:rsidRPr="00F323B4">
        <w:rPr>
          <w:rFonts w:cstheme="minorHAnsi"/>
          <w:i/>
          <w:iCs/>
        </w:rPr>
        <w:t xml:space="preserve"> z praxe by nemuselo až 80 % dotčených firem využít mimořádného moratoria podle zákonů č. 191/2020 Sb. a 460/2020 Sb., kterým</w:t>
      </w:r>
      <w:r w:rsidR="004613DF" w:rsidRPr="00763D66">
        <w:rPr>
          <w:rFonts w:cstheme="minorHAnsi"/>
          <w:i/>
          <w:iCs/>
        </w:rPr>
        <w:t>i</w:t>
      </w:r>
      <w:r w:rsidR="00AF7074" w:rsidRPr="00763D66">
        <w:rPr>
          <w:rFonts w:cstheme="minorHAnsi"/>
          <w:i/>
          <w:iCs/>
        </w:rPr>
        <w:t xml:space="preserve"> zákonodárci reagovali na covidovou pandemii</w:t>
      </w:r>
      <w:r w:rsidR="004B32BD" w:rsidRPr="00763D66">
        <w:rPr>
          <w:rFonts w:cstheme="minorHAnsi"/>
          <w:i/>
          <w:iCs/>
        </w:rPr>
        <w:t>. Mimo covidový stav</w:t>
      </w:r>
      <w:r w:rsidR="00AE18E9" w:rsidRPr="00763D66">
        <w:rPr>
          <w:rFonts w:cstheme="minorHAnsi"/>
          <w:i/>
          <w:iCs/>
        </w:rPr>
        <w:t xml:space="preserve"> </w:t>
      </w:r>
      <w:r w:rsidR="004B32BD" w:rsidRPr="0063630F">
        <w:rPr>
          <w:rFonts w:cstheme="minorHAnsi"/>
          <w:i/>
          <w:iCs/>
        </w:rPr>
        <w:t xml:space="preserve">by </w:t>
      </w:r>
      <w:r w:rsidR="00AE18E9" w:rsidRPr="00AB60FC">
        <w:rPr>
          <w:rFonts w:cstheme="minorHAnsi"/>
          <w:i/>
          <w:iCs/>
        </w:rPr>
        <w:t xml:space="preserve">se rovněž </w:t>
      </w:r>
      <w:r w:rsidR="00373448" w:rsidRPr="00AB60FC">
        <w:rPr>
          <w:rFonts w:cstheme="minorHAnsi"/>
          <w:i/>
          <w:iCs/>
        </w:rPr>
        <w:t>velké procento firem vyhnulo</w:t>
      </w:r>
      <w:r w:rsidR="006C698A" w:rsidRPr="00AB60FC">
        <w:rPr>
          <w:rFonts w:cstheme="minorHAnsi"/>
          <w:i/>
          <w:iCs/>
        </w:rPr>
        <w:t xml:space="preserve"> insolvenčnímu řízení, </w:t>
      </w:r>
      <w:r w:rsidR="00373448" w:rsidRPr="00FF1A4E">
        <w:rPr>
          <w:rFonts w:cstheme="minorHAnsi"/>
          <w:i/>
          <w:iCs/>
        </w:rPr>
        <w:t xml:space="preserve">které </w:t>
      </w:r>
      <w:r w:rsidR="006C698A" w:rsidRPr="00F95C55">
        <w:rPr>
          <w:rFonts w:cstheme="minorHAnsi"/>
          <w:i/>
          <w:iCs/>
        </w:rPr>
        <w:t xml:space="preserve">obvykle </w:t>
      </w:r>
      <w:r w:rsidR="00373448" w:rsidRPr="00F323B4">
        <w:rPr>
          <w:rFonts w:cstheme="minorHAnsi"/>
          <w:i/>
          <w:iCs/>
        </w:rPr>
        <w:t xml:space="preserve">vede </w:t>
      </w:r>
      <w:r w:rsidR="006C698A" w:rsidRPr="00F323B4">
        <w:rPr>
          <w:rFonts w:cstheme="minorHAnsi"/>
          <w:i/>
          <w:iCs/>
        </w:rPr>
        <w:t>k zavření společnosti</w:t>
      </w:r>
      <w:r w:rsidR="00373448" w:rsidRPr="00F323B4">
        <w:rPr>
          <w:rFonts w:cstheme="minorHAnsi"/>
          <w:i/>
          <w:iCs/>
        </w:rPr>
        <w:t xml:space="preserve"> a ztrát</w:t>
      </w:r>
      <w:r w:rsidR="004D722E" w:rsidRPr="00F323B4">
        <w:rPr>
          <w:rFonts w:cstheme="minorHAnsi"/>
          <w:i/>
          <w:iCs/>
        </w:rPr>
        <w:t>ě</w:t>
      </w:r>
      <w:r w:rsidR="00373448" w:rsidRPr="00F323B4">
        <w:rPr>
          <w:rFonts w:cstheme="minorHAnsi"/>
          <w:i/>
          <w:iCs/>
        </w:rPr>
        <w:t xml:space="preserve"> zaměstnání pro nemalé množství lidí</w:t>
      </w:r>
      <w:r w:rsidR="00CA6436" w:rsidRPr="00763D66">
        <w:rPr>
          <w:rFonts w:cstheme="minorHAnsi"/>
          <w:i/>
          <w:iCs/>
        </w:rPr>
        <w:t>,</w:t>
      </w:r>
      <w:r w:rsidR="00AF7074" w:rsidRPr="00763D66">
        <w:rPr>
          <w:rFonts w:cstheme="minorHAnsi"/>
          <w:i/>
          <w:iCs/>
        </w:rPr>
        <w:t xml:space="preserve">“ </w:t>
      </w:r>
      <w:r w:rsidR="006C698A" w:rsidRPr="00763D66">
        <w:rPr>
          <w:rFonts w:cstheme="minorHAnsi"/>
        </w:rPr>
        <w:t xml:space="preserve">říká </w:t>
      </w:r>
      <w:r w:rsidR="00C37F73" w:rsidRPr="00763D66">
        <w:rPr>
          <w:rFonts w:cstheme="minorHAnsi"/>
          <w:b/>
          <w:bCs/>
        </w:rPr>
        <w:t>Petr Smutný, vedoucí oddělení restrukturalizací PwC a předseda asociace TMA ČR, který dodává:</w:t>
      </w:r>
      <w:r w:rsidR="00A9340E" w:rsidRPr="00AB60FC">
        <w:rPr>
          <w:rFonts w:cstheme="minorHAnsi"/>
        </w:rPr>
        <w:t xml:space="preserve"> </w:t>
      </w:r>
      <w:r w:rsidR="00A9340E" w:rsidRPr="00AB60FC">
        <w:rPr>
          <w:rFonts w:cstheme="minorHAnsi"/>
          <w:i/>
          <w:iCs/>
        </w:rPr>
        <w:t>„Problém</w:t>
      </w:r>
      <w:r w:rsidRPr="00AB60FC">
        <w:rPr>
          <w:rFonts w:cstheme="minorHAnsi"/>
          <w:i/>
          <w:iCs/>
        </w:rPr>
        <w:t xml:space="preserve"> je v legislativě, která dostatečně nepracuje se systémem varovných indikátorů</w:t>
      </w:r>
      <w:r w:rsidRPr="008D066D">
        <w:rPr>
          <w:rFonts w:cstheme="minorHAnsi"/>
          <w:i/>
          <w:iCs/>
        </w:rPr>
        <w:t>. Druhý problém vidím v přístupu managementu</w:t>
      </w:r>
      <w:r w:rsidR="000D649F">
        <w:rPr>
          <w:rFonts w:cstheme="minorHAnsi"/>
          <w:i/>
          <w:iCs/>
        </w:rPr>
        <w:t xml:space="preserve"> firem</w:t>
      </w:r>
      <w:r w:rsidRPr="008D066D">
        <w:rPr>
          <w:rFonts w:cstheme="minorHAnsi"/>
          <w:i/>
          <w:iCs/>
        </w:rPr>
        <w:t xml:space="preserve">. Bohužel velmi často se děje, že </w:t>
      </w:r>
      <w:r w:rsidR="000D649F">
        <w:rPr>
          <w:rFonts w:cstheme="minorHAnsi"/>
          <w:i/>
          <w:iCs/>
        </w:rPr>
        <w:t>podniky</w:t>
      </w:r>
      <w:r w:rsidRPr="008D066D">
        <w:rPr>
          <w:rFonts w:cstheme="minorHAnsi"/>
          <w:i/>
          <w:iCs/>
        </w:rPr>
        <w:t xml:space="preserve"> </w:t>
      </w:r>
      <w:r w:rsidR="00802392">
        <w:rPr>
          <w:rFonts w:cstheme="minorHAnsi"/>
          <w:i/>
          <w:iCs/>
        </w:rPr>
        <w:t>si</w:t>
      </w:r>
      <w:r w:rsidR="00F01093">
        <w:rPr>
          <w:rFonts w:cstheme="minorHAnsi"/>
          <w:i/>
          <w:iCs/>
        </w:rPr>
        <w:t xml:space="preserve"> </w:t>
      </w:r>
      <w:r w:rsidRPr="008D066D">
        <w:rPr>
          <w:rFonts w:cstheme="minorHAnsi"/>
          <w:i/>
          <w:iCs/>
        </w:rPr>
        <w:t xml:space="preserve">dostatečně nehlídají indikátory typu zadlužení nebo platební neschopnost. </w:t>
      </w:r>
      <w:r w:rsidRPr="00D80BDE">
        <w:rPr>
          <w:rFonts w:cstheme="minorHAnsi"/>
          <w:i/>
          <w:iCs/>
        </w:rPr>
        <w:t>Často ani neodevzdávají pravidelně účetní závěrky. Věřím ale, že nová legislativa bude v tomto ohledu nápomocna</w:t>
      </w:r>
      <w:r w:rsidR="00802392">
        <w:rPr>
          <w:rFonts w:cstheme="minorHAnsi"/>
          <w:i/>
          <w:iCs/>
        </w:rPr>
        <w:t xml:space="preserve">. Prevenci před insolvencí více zjednoduší </w:t>
      </w:r>
      <w:r w:rsidR="00D54E98">
        <w:rPr>
          <w:rFonts w:cstheme="minorHAnsi"/>
          <w:i/>
          <w:iCs/>
        </w:rPr>
        <w:t>i</w:t>
      </w:r>
      <w:r w:rsidR="00802392">
        <w:rPr>
          <w:rFonts w:cstheme="minorHAnsi"/>
          <w:i/>
          <w:iCs/>
        </w:rPr>
        <w:t xml:space="preserve"> bude</w:t>
      </w:r>
      <w:r w:rsidR="00D54E98">
        <w:rPr>
          <w:rFonts w:cstheme="minorHAnsi"/>
          <w:i/>
          <w:iCs/>
        </w:rPr>
        <w:t xml:space="preserve"> vedení firem </w:t>
      </w:r>
      <w:r w:rsidR="00802392">
        <w:rPr>
          <w:rFonts w:cstheme="minorHAnsi"/>
          <w:i/>
          <w:iCs/>
        </w:rPr>
        <w:t>k hlídání varovných signálů více motivovat</w:t>
      </w:r>
      <w:r w:rsidRPr="00763D66">
        <w:rPr>
          <w:rFonts w:cstheme="minorHAnsi"/>
          <w:i/>
          <w:iCs/>
        </w:rPr>
        <w:t>.“</w:t>
      </w:r>
    </w:p>
    <w:p w14:paraId="7ABACEA7" w14:textId="768816B4" w:rsidR="00896E43" w:rsidRPr="00AB60FC" w:rsidRDefault="00F470A3" w:rsidP="00896E43">
      <w:pPr>
        <w:rPr>
          <w:rFonts w:cstheme="minorHAnsi"/>
          <w:b/>
          <w:bCs/>
        </w:rPr>
      </w:pPr>
      <w:r w:rsidRPr="0063630F">
        <w:rPr>
          <w:rFonts w:cstheme="minorHAnsi"/>
          <w:b/>
          <w:bCs/>
        </w:rPr>
        <w:t xml:space="preserve">Netransparentnost </w:t>
      </w:r>
      <w:r w:rsidR="00896E43" w:rsidRPr="0063630F">
        <w:rPr>
          <w:rFonts w:cstheme="minorHAnsi"/>
          <w:b/>
          <w:bCs/>
        </w:rPr>
        <w:t>česk</w:t>
      </w:r>
      <w:r w:rsidRPr="00AB60FC">
        <w:rPr>
          <w:rFonts w:cstheme="minorHAnsi"/>
          <w:b/>
          <w:bCs/>
        </w:rPr>
        <w:t>ého</w:t>
      </w:r>
      <w:r w:rsidR="00896E43" w:rsidRPr="00AB60FC">
        <w:rPr>
          <w:rFonts w:cstheme="minorHAnsi"/>
          <w:b/>
          <w:bCs/>
        </w:rPr>
        <w:t xml:space="preserve"> management</w:t>
      </w:r>
      <w:r w:rsidR="00BA7369">
        <w:rPr>
          <w:rFonts w:cstheme="minorHAnsi"/>
          <w:b/>
          <w:bCs/>
        </w:rPr>
        <w:t>u</w:t>
      </w:r>
    </w:p>
    <w:p w14:paraId="3A66571B" w14:textId="5A856959" w:rsidR="00D75BA0" w:rsidRPr="00F323B4" w:rsidRDefault="00E93A7D" w:rsidP="00F470A3">
      <w:pPr>
        <w:rPr>
          <w:rFonts w:cstheme="minorHAnsi"/>
        </w:rPr>
      </w:pPr>
      <w:r w:rsidRPr="00F323B4">
        <w:rPr>
          <w:rFonts w:cstheme="minorHAnsi"/>
        </w:rPr>
        <w:t xml:space="preserve">Slova o špatné </w:t>
      </w:r>
      <w:r w:rsidR="00F470A3" w:rsidRPr="00F323B4">
        <w:rPr>
          <w:rFonts w:cstheme="minorHAnsi"/>
        </w:rPr>
        <w:t>bilanc</w:t>
      </w:r>
      <w:r w:rsidRPr="00F323B4">
        <w:rPr>
          <w:rFonts w:cstheme="minorHAnsi"/>
        </w:rPr>
        <w:t xml:space="preserve">i </w:t>
      </w:r>
      <w:r w:rsidR="00F470A3" w:rsidRPr="00F323B4">
        <w:rPr>
          <w:rFonts w:cstheme="minorHAnsi"/>
        </w:rPr>
        <w:t>firem v</w:t>
      </w:r>
      <w:r w:rsidRPr="00F323B4">
        <w:rPr>
          <w:rFonts w:cstheme="minorHAnsi"/>
        </w:rPr>
        <w:t> odevzdávání účetních závěrek potvrzuje další studie VŠE</w:t>
      </w:r>
      <w:r w:rsidR="00F470A3" w:rsidRPr="00F323B4">
        <w:rPr>
          <w:rFonts w:cstheme="minorHAnsi"/>
        </w:rPr>
        <w:t xml:space="preserve">. </w:t>
      </w:r>
      <w:r w:rsidR="00F470A3" w:rsidRPr="00F323B4">
        <w:rPr>
          <w:rFonts w:cstheme="minorHAnsi"/>
          <w:i/>
          <w:iCs/>
        </w:rPr>
        <w:t xml:space="preserve">„Analyzovali jsme loni </w:t>
      </w:r>
      <w:r w:rsidR="00896E43" w:rsidRPr="00F323B4">
        <w:rPr>
          <w:rFonts w:cstheme="minorHAnsi"/>
          <w:i/>
          <w:iCs/>
        </w:rPr>
        <w:t>120 firem v úpadku a zjistil</w:t>
      </w:r>
      <w:r w:rsidR="00F470A3" w:rsidRPr="00F323B4">
        <w:rPr>
          <w:rFonts w:cstheme="minorHAnsi"/>
          <w:i/>
          <w:iCs/>
        </w:rPr>
        <w:t>i</w:t>
      </w:r>
      <w:r w:rsidR="00896E43" w:rsidRPr="00F323B4">
        <w:rPr>
          <w:rFonts w:cstheme="minorHAnsi"/>
          <w:i/>
          <w:iCs/>
        </w:rPr>
        <w:t xml:space="preserve">, že </w:t>
      </w:r>
      <w:r w:rsidR="00F470A3" w:rsidRPr="00F323B4">
        <w:rPr>
          <w:rFonts w:cstheme="minorHAnsi"/>
          <w:i/>
          <w:iCs/>
        </w:rPr>
        <w:t xml:space="preserve">dva roky před úpadkem </w:t>
      </w:r>
      <w:r w:rsidR="0063630F">
        <w:rPr>
          <w:rFonts w:cstheme="minorHAnsi"/>
          <w:i/>
          <w:iCs/>
        </w:rPr>
        <w:t xml:space="preserve">své </w:t>
      </w:r>
      <w:r w:rsidR="00F323B4">
        <w:rPr>
          <w:rFonts w:cstheme="minorHAnsi"/>
          <w:i/>
          <w:iCs/>
        </w:rPr>
        <w:t xml:space="preserve">závěrky </w:t>
      </w:r>
      <w:r w:rsidR="00F470A3" w:rsidRPr="00F323B4">
        <w:rPr>
          <w:rFonts w:cstheme="minorHAnsi"/>
          <w:i/>
          <w:iCs/>
        </w:rPr>
        <w:t xml:space="preserve">zveřejnilo jen 40 % z nich a rok před </w:t>
      </w:r>
      <w:r w:rsidR="00F323B4">
        <w:rPr>
          <w:rFonts w:cstheme="minorHAnsi"/>
          <w:i/>
          <w:iCs/>
        </w:rPr>
        <w:t>úpadkem</w:t>
      </w:r>
      <w:r w:rsidR="00F470A3" w:rsidRPr="00F323B4">
        <w:rPr>
          <w:rFonts w:cstheme="minorHAnsi"/>
          <w:i/>
          <w:iCs/>
        </w:rPr>
        <w:t xml:space="preserve"> pouhých 25 %</w:t>
      </w:r>
      <w:r w:rsidR="0063630F">
        <w:rPr>
          <w:rFonts w:cstheme="minorHAnsi"/>
          <w:i/>
          <w:iCs/>
        </w:rPr>
        <w:t xml:space="preserve"> firem</w:t>
      </w:r>
      <w:r w:rsidR="00F470A3" w:rsidRPr="00F323B4">
        <w:rPr>
          <w:rFonts w:cstheme="minorHAnsi"/>
          <w:i/>
          <w:iCs/>
        </w:rPr>
        <w:t xml:space="preserve">. </w:t>
      </w:r>
      <w:r w:rsidR="00F470A3" w:rsidRPr="00F323B4">
        <w:rPr>
          <w:rFonts w:cstheme="minorHAnsi"/>
          <w:i/>
          <w:iCs/>
          <w:color w:val="201F1E"/>
        </w:rPr>
        <w:t>Jak se situace podniků zhoršovala a směřovala k formálnímu řešení před insolvenčním soudem, tak se snižovala jejich transparentnost vůči věřitelům.</w:t>
      </w:r>
      <w:r w:rsidR="00F470A3" w:rsidRPr="00F323B4">
        <w:rPr>
          <w:rFonts w:cstheme="minorHAnsi"/>
          <w:i/>
          <w:iCs/>
        </w:rPr>
        <w:t xml:space="preserve"> Věříme, že když si firmy osvojí práci s</w:t>
      </w:r>
      <w:r w:rsidR="00F95C55">
        <w:rPr>
          <w:rFonts w:cstheme="minorHAnsi"/>
          <w:i/>
          <w:iCs/>
        </w:rPr>
        <w:t> </w:t>
      </w:r>
      <w:r w:rsidR="00F323B4">
        <w:rPr>
          <w:rFonts w:cstheme="minorHAnsi"/>
          <w:i/>
          <w:iCs/>
        </w:rPr>
        <w:t>navrhovaným</w:t>
      </w:r>
      <w:r w:rsidR="00F95C55">
        <w:rPr>
          <w:rFonts w:cstheme="minorHAnsi"/>
          <w:i/>
          <w:iCs/>
        </w:rPr>
        <w:t xml:space="preserve"> </w:t>
      </w:r>
      <w:r w:rsidR="00D54E98" w:rsidRPr="009C5A51">
        <w:rPr>
          <w:rFonts w:cstheme="minorHAnsi"/>
          <w:i/>
          <w:iCs/>
        </w:rPr>
        <w:t>S</w:t>
      </w:r>
      <w:r w:rsidR="00F95C55" w:rsidRPr="009C5A51">
        <w:rPr>
          <w:rFonts w:cstheme="minorHAnsi"/>
          <w:i/>
          <w:iCs/>
        </w:rPr>
        <w:t>ys</w:t>
      </w:r>
      <w:r w:rsidR="00F95C55">
        <w:rPr>
          <w:rFonts w:cstheme="minorHAnsi"/>
          <w:i/>
          <w:iCs/>
        </w:rPr>
        <w:t xml:space="preserve">témem </w:t>
      </w:r>
      <w:r w:rsidR="001C24B0">
        <w:rPr>
          <w:rFonts w:cstheme="minorHAnsi"/>
          <w:i/>
          <w:iCs/>
        </w:rPr>
        <w:t>včasn</w:t>
      </w:r>
      <w:r w:rsidR="00BA7369">
        <w:rPr>
          <w:rFonts w:cstheme="minorHAnsi"/>
          <w:i/>
          <w:iCs/>
        </w:rPr>
        <w:t>ých varovných signálů</w:t>
      </w:r>
      <w:r w:rsidR="00F470A3" w:rsidRPr="00F323B4">
        <w:rPr>
          <w:rFonts w:cstheme="minorHAnsi"/>
          <w:i/>
          <w:iCs/>
        </w:rPr>
        <w:t xml:space="preserve">, který čerpá z dat v účetních závěrkách, </w:t>
      </w:r>
      <w:r w:rsidR="009C5A51">
        <w:rPr>
          <w:rFonts w:cstheme="minorHAnsi"/>
          <w:i/>
          <w:iCs/>
        </w:rPr>
        <w:t>uchrání to celou řadu z nich před insolvenčním řízením</w:t>
      </w:r>
      <w:r w:rsidR="001649F1">
        <w:rPr>
          <w:rFonts w:cstheme="minorHAnsi"/>
          <w:i/>
          <w:iCs/>
        </w:rPr>
        <w:t>,</w:t>
      </w:r>
      <w:r w:rsidR="00F470A3" w:rsidRPr="00F323B4">
        <w:rPr>
          <w:rFonts w:cstheme="minorHAnsi"/>
          <w:i/>
          <w:iCs/>
        </w:rPr>
        <w:t>“</w:t>
      </w:r>
      <w:r w:rsidR="00F470A3" w:rsidRPr="00F323B4">
        <w:rPr>
          <w:rFonts w:cstheme="minorHAnsi"/>
        </w:rPr>
        <w:t xml:space="preserve"> říká Schönfeld. </w:t>
      </w:r>
    </w:p>
    <w:p w14:paraId="28152892" w14:textId="05F8D74A" w:rsidR="00D777F4" w:rsidRPr="00763D66" w:rsidRDefault="00AE18E9" w:rsidP="0095535D">
      <w:pPr>
        <w:rPr>
          <w:rFonts w:cstheme="minorHAnsi"/>
          <w:b/>
          <w:bCs/>
        </w:rPr>
      </w:pPr>
      <w:r w:rsidRPr="00763D66">
        <w:rPr>
          <w:rFonts w:cstheme="minorHAnsi"/>
          <w:b/>
          <w:bCs/>
        </w:rPr>
        <w:t>Restrukturalizační fórum 2021</w:t>
      </w:r>
    </w:p>
    <w:p w14:paraId="2B0531BA" w14:textId="3CE93F44" w:rsidR="00F470A3" w:rsidRPr="00D80BDE" w:rsidRDefault="00125DBC" w:rsidP="00F470A3">
      <w:pPr>
        <w:rPr>
          <w:rFonts w:cstheme="minorHAnsi"/>
        </w:rPr>
      </w:pPr>
      <w:r w:rsidRPr="00763D66">
        <w:rPr>
          <w:rFonts w:cstheme="minorHAnsi"/>
        </w:rPr>
        <w:t xml:space="preserve">V pořadí </w:t>
      </w:r>
      <w:r w:rsidRPr="00763D66">
        <w:rPr>
          <w:rFonts w:cstheme="minorHAnsi"/>
          <w:b/>
          <w:bCs/>
        </w:rPr>
        <w:t>9. Restrukturalizační fórum</w:t>
      </w:r>
      <w:r w:rsidRPr="0063630F">
        <w:rPr>
          <w:rFonts w:cstheme="minorHAnsi"/>
        </w:rPr>
        <w:t xml:space="preserve"> </w:t>
      </w:r>
      <w:r w:rsidR="00EE3A07" w:rsidRPr="0063630F">
        <w:rPr>
          <w:rFonts w:cstheme="minorHAnsi"/>
        </w:rPr>
        <w:t xml:space="preserve">pořádané asociací TMA ČR </w:t>
      </w:r>
      <w:r w:rsidRPr="0063630F">
        <w:rPr>
          <w:rFonts w:cstheme="minorHAnsi"/>
        </w:rPr>
        <w:t xml:space="preserve">se bude kromě problematiky výše </w:t>
      </w:r>
      <w:r w:rsidRPr="00AB60FC">
        <w:rPr>
          <w:rFonts w:cstheme="minorHAnsi"/>
        </w:rPr>
        <w:t xml:space="preserve">věnovat praktickým příkladům zhoršení ekonomického zdraví firem </w:t>
      </w:r>
      <w:r w:rsidRPr="008D066D">
        <w:rPr>
          <w:rFonts w:cstheme="minorHAnsi"/>
        </w:rPr>
        <w:t>během pandemie COVID-19</w:t>
      </w:r>
      <w:r w:rsidR="00E93A7D" w:rsidRPr="008D066D">
        <w:rPr>
          <w:rFonts w:cstheme="minorHAnsi"/>
        </w:rPr>
        <w:t xml:space="preserve"> i </w:t>
      </w:r>
      <w:r w:rsidRPr="008D066D">
        <w:rPr>
          <w:rFonts w:cstheme="minorHAnsi"/>
        </w:rPr>
        <w:t>případový</w:t>
      </w:r>
      <w:r w:rsidR="00E93A7D" w:rsidRPr="008D066D">
        <w:rPr>
          <w:rFonts w:cstheme="minorHAnsi"/>
        </w:rPr>
        <w:t>m</w:t>
      </w:r>
      <w:r w:rsidRPr="008D066D">
        <w:rPr>
          <w:rFonts w:cstheme="minorHAnsi"/>
        </w:rPr>
        <w:t xml:space="preserve"> studií</w:t>
      </w:r>
      <w:r w:rsidR="00E93A7D" w:rsidRPr="00D80BDE">
        <w:rPr>
          <w:rFonts w:cstheme="minorHAnsi"/>
        </w:rPr>
        <w:t>m</w:t>
      </w:r>
      <w:r w:rsidRPr="00D80BDE">
        <w:rPr>
          <w:rFonts w:cstheme="minorHAnsi"/>
        </w:rPr>
        <w:t xml:space="preserve"> úspěšných restrukturalizací dokončených v minulém roce</w:t>
      </w:r>
      <w:r w:rsidR="00E93A7D" w:rsidRPr="00D80BDE">
        <w:rPr>
          <w:rFonts w:cstheme="minorHAnsi"/>
        </w:rPr>
        <w:t>.</w:t>
      </w:r>
    </w:p>
    <w:p w14:paraId="43E4553D" w14:textId="68F709CC" w:rsidR="00F323B4" w:rsidRDefault="004613DF" w:rsidP="00F470A3">
      <w:pPr>
        <w:rPr>
          <w:rFonts w:cstheme="minorHAnsi"/>
        </w:rPr>
      </w:pPr>
      <w:r w:rsidRPr="001649F1">
        <w:rPr>
          <w:rFonts w:cstheme="minorHAnsi"/>
        </w:rPr>
        <w:t>Fórum se rovněž z</w:t>
      </w:r>
      <w:r w:rsidR="00373448" w:rsidRPr="001649F1">
        <w:rPr>
          <w:rFonts w:cstheme="minorHAnsi"/>
        </w:rPr>
        <w:t>aměří na modely financování a makroekonomický výhled, který v úvodu poskytne Miroslav Singer (</w:t>
      </w:r>
      <w:r w:rsidR="00054663">
        <w:rPr>
          <w:rFonts w:cstheme="minorHAnsi"/>
        </w:rPr>
        <w:t xml:space="preserve">hlavní ekonom </w:t>
      </w:r>
      <w:proofErr w:type="spellStart"/>
      <w:r w:rsidR="00373448" w:rsidRPr="001649F1">
        <w:rPr>
          <w:rFonts w:cstheme="minorHAnsi"/>
        </w:rPr>
        <w:t>Generali</w:t>
      </w:r>
      <w:proofErr w:type="spellEnd"/>
      <w:r w:rsidR="00373448" w:rsidRPr="001649F1">
        <w:rPr>
          <w:rFonts w:cstheme="minorHAnsi"/>
        </w:rPr>
        <w:t xml:space="preserve"> CEE Holding</w:t>
      </w:r>
      <w:r w:rsidR="00054663">
        <w:rPr>
          <w:rFonts w:cstheme="minorHAnsi"/>
        </w:rPr>
        <w:t xml:space="preserve"> a člen správní rady </w:t>
      </w:r>
      <w:r w:rsidR="00373448" w:rsidRPr="001649F1">
        <w:rPr>
          <w:rFonts w:cstheme="minorHAnsi"/>
        </w:rPr>
        <w:t>TMA</w:t>
      </w:r>
      <w:r w:rsidR="00054663">
        <w:rPr>
          <w:rFonts w:cstheme="minorHAnsi"/>
        </w:rPr>
        <w:t xml:space="preserve"> ČR</w:t>
      </w:r>
      <w:r w:rsidR="00373448" w:rsidRPr="001649F1">
        <w:rPr>
          <w:rFonts w:cstheme="minorHAnsi"/>
        </w:rPr>
        <w:t xml:space="preserve">). Více informací o fóru naleznete </w:t>
      </w:r>
      <w:hyperlink r:id="rId9" w:history="1">
        <w:r w:rsidR="00373448" w:rsidRPr="00F323B4">
          <w:rPr>
            <w:rStyle w:val="Hyperlink"/>
            <w:rFonts w:cstheme="minorHAnsi"/>
          </w:rPr>
          <w:t>ZDE</w:t>
        </w:r>
      </w:hyperlink>
      <w:r w:rsidR="00373448" w:rsidRPr="00F323B4">
        <w:rPr>
          <w:rFonts w:cstheme="minorHAnsi"/>
        </w:rPr>
        <w:t>.</w:t>
      </w:r>
      <w:r w:rsidRPr="00F323B4">
        <w:rPr>
          <w:rFonts w:cstheme="minorHAnsi"/>
        </w:rPr>
        <w:t xml:space="preserve"> </w:t>
      </w:r>
    </w:p>
    <w:p w14:paraId="2EED8A99" w14:textId="16FCE95B" w:rsidR="0095535D" w:rsidRPr="00F323B4" w:rsidRDefault="004613DF" w:rsidP="00F470A3">
      <w:pPr>
        <w:rPr>
          <w:rFonts w:cstheme="minorHAnsi"/>
          <w:color w:val="FF0000"/>
        </w:rPr>
      </w:pPr>
      <w:r w:rsidRPr="00F323B4">
        <w:rPr>
          <w:rFonts w:cstheme="minorHAnsi"/>
        </w:rPr>
        <w:t>Zástupci médií se mohou akreditovat prostřednictvím e-mailu:</w:t>
      </w:r>
      <w:r w:rsidR="00DC1621">
        <w:rPr>
          <w:rFonts w:cstheme="minorHAnsi"/>
          <w:color w:val="FF0000"/>
        </w:rPr>
        <w:t xml:space="preserve"> </w:t>
      </w:r>
      <w:hyperlink r:id="rId10" w:history="1">
        <w:r w:rsidR="00DC1621" w:rsidRPr="0063038B">
          <w:rPr>
            <w:rStyle w:val="Hyperlink"/>
            <w:rFonts w:cstheme="minorHAnsi"/>
          </w:rPr>
          <w:t>konference@turnaround.cz</w:t>
        </w:r>
      </w:hyperlink>
      <w:r w:rsidR="00BB5640" w:rsidRPr="00F323B4">
        <w:rPr>
          <w:rFonts w:cstheme="minorHAnsi"/>
          <w:color w:val="FF0000"/>
        </w:rPr>
        <w:t>.</w:t>
      </w:r>
    </w:p>
    <w:p w14:paraId="400D45AE" w14:textId="77777777" w:rsidR="00307F66" w:rsidRPr="00F323B4" w:rsidRDefault="00307F66" w:rsidP="00307F66">
      <w:pPr>
        <w:jc w:val="center"/>
        <w:rPr>
          <w:rFonts w:cstheme="minorHAnsi"/>
          <w:b/>
        </w:rPr>
      </w:pPr>
      <w:r w:rsidRPr="00F323B4">
        <w:rPr>
          <w:rFonts w:cstheme="minorHAnsi"/>
        </w:rPr>
        <w:t>###</w:t>
      </w:r>
    </w:p>
    <w:p w14:paraId="3DFCD5AB" w14:textId="77777777" w:rsidR="00307F66" w:rsidRPr="0063630F" w:rsidRDefault="00307F66" w:rsidP="00307F66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  <w:r w:rsidRPr="0063630F">
        <w:rPr>
          <w:rFonts w:asciiTheme="minorHAnsi" w:hAnsiTheme="minorHAnsi" w:cstheme="minorHAnsi"/>
          <w:b/>
          <w:sz w:val="22"/>
          <w:szCs w:val="22"/>
        </w:rPr>
        <w:t>Pokud budete potřebovat doplňující informace, obracejte se na:</w:t>
      </w:r>
      <w:r w:rsidRPr="0063630F">
        <w:rPr>
          <w:rFonts w:asciiTheme="minorHAnsi" w:hAnsiTheme="minorHAnsi" w:cstheme="minorHAnsi"/>
          <w:b/>
          <w:sz w:val="22"/>
          <w:szCs w:val="22"/>
        </w:rPr>
        <w:br/>
      </w:r>
    </w:p>
    <w:p w14:paraId="51470430" w14:textId="689BD9BB" w:rsidR="00307F66" w:rsidRPr="0063630F" w:rsidRDefault="00307F66" w:rsidP="00307F66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  <w:r w:rsidRPr="0063630F">
        <w:rPr>
          <w:rFonts w:asciiTheme="minorHAnsi" w:hAnsiTheme="minorHAnsi" w:cstheme="minorHAnsi"/>
          <w:bCs/>
          <w:sz w:val="22"/>
          <w:szCs w:val="22"/>
        </w:rPr>
        <w:t>Igor Walter</w:t>
      </w:r>
    </w:p>
    <w:p w14:paraId="2C7878D6" w14:textId="77777777" w:rsidR="00307F66" w:rsidRPr="0063630F" w:rsidRDefault="00307F66" w:rsidP="00307F66">
      <w:pPr>
        <w:pStyle w:val="NoSpacing"/>
        <w:rPr>
          <w:rFonts w:asciiTheme="minorHAnsi" w:hAnsiTheme="minorHAnsi" w:cstheme="minorHAnsi"/>
          <w:sz w:val="22"/>
          <w:szCs w:val="22"/>
        </w:rPr>
      </w:pPr>
      <w:proofErr w:type="spellStart"/>
      <w:r w:rsidRPr="0063630F">
        <w:rPr>
          <w:rFonts w:asciiTheme="minorHAnsi" w:hAnsiTheme="minorHAnsi" w:cstheme="minorHAnsi"/>
          <w:bCs/>
          <w:sz w:val="22"/>
          <w:szCs w:val="22"/>
        </w:rPr>
        <w:t>Account</w:t>
      </w:r>
      <w:proofErr w:type="spellEnd"/>
      <w:r w:rsidRPr="0063630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3630F">
        <w:rPr>
          <w:rFonts w:asciiTheme="minorHAnsi" w:hAnsiTheme="minorHAnsi" w:cstheme="minorHAnsi"/>
          <w:bCs/>
          <w:sz w:val="22"/>
          <w:szCs w:val="22"/>
        </w:rPr>
        <w:t>Director</w:t>
      </w:r>
      <w:proofErr w:type="spellEnd"/>
    </w:p>
    <w:p w14:paraId="24C06397" w14:textId="77777777" w:rsidR="00307F66" w:rsidRPr="0063630F" w:rsidRDefault="00307F66" w:rsidP="00307F6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63630F">
        <w:rPr>
          <w:rFonts w:asciiTheme="minorHAnsi" w:hAnsiTheme="minorHAnsi" w:cstheme="minorHAnsi"/>
          <w:bCs/>
          <w:sz w:val="22"/>
          <w:szCs w:val="22"/>
        </w:rPr>
        <w:t xml:space="preserve">Phoenix </w:t>
      </w:r>
      <w:proofErr w:type="spellStart"/>
      <w:r w:rsidRPr="0063630F">
        <w:rPr>
          <w:rFonts w:asciiTheme="minorHAnsi" w:hAnsiTheme="minorHAnsi" w:cstheme="minorHAnsi"/>
          <w:bCs/>
          <w:sz w:val="22"/>
          <w:szCs w:val="22"/>
        </w:rPr>
        <w:t>Communication</w:t>
      </w:r>
      <w:proofErr w:type="spellEnd"/>
      <w:r w:rsidRPr="0063630F">
        <w:rPr>
          <w:rFonts w:asciiTheme="minorHAnsi" w:hAnsiTheme="minorHAnsi" w:cstheme="minorHAnsi"/>
          <w:bCs/>
          <w:sz w:val="22"/>
          <w:szCs w:val="22"/>
        </w:rPr>
        <w:t>, a.s.</w:t>
      </w:r>
    </w:p>
    <w:p w14:paraId="03B95407" w14:textId="77777777" w:rsidR="00307F66" w:rsidRPr="0063630F" w:rsidRDefault="00307F66" w:rsidP="00307F66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63630F">
        <w:rPr>
          <w:rFonts w:asciiTheme="minorHAnsi" w:hAnsiTheme="minorHAnsi" w:cstheme="minorHAnsi"/>
          <w:bCs/>
          <w:sz w:val="22"/>
          <w:szCs w:val="22"/>
        </w:rPr>
        <w:t>Tel.: 777 658 876</w:t>
      </w:r>
    </w:p>
    <w:p w14:paraId="77D93E8C" w14:textId="77777777" w:rsidR="00307F66" w:rsidRPr="0063630F" w:rsidRDefault="00307F66" w:rsidP="00307F66">
      <w:pPr>
        <w:pStyle w:val="NoSpacing"/>
        <w:rPr>
          <w:rFonts w:asciiTheme="minorHAnsi" w:hAnsiTheme="minorHAnsi" w:cstheme="minorHAnsi"/>
          <w:bCs/>
          <w:sz w:val="22"/>
          <w:szCs w:val="22"/>
        </w:rPr>
      </w:pPr>
      <w:r w:rsidRPr="0063630F">
        <w:rPr>
          <w:rFonts w:asciiTheme="minorHAnsi" w:hAnsiTheme="minorHAnsi" w:cstheme="minorHAnsi"/>
          <w:bCs/>
          <w:sz w:val="22"/>
          <w:szCs w:val="22"/>
        </w:rPr>
        <w:t xml:space="preserve">E-mail: </w:t>
      </w:r>
      <w:hyperlink r:id="rId11" w:history="1">
        <w:r w:rsidRPr="0063630F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igor@phoenixcom.cz</w:t>
        </w:r>
      </w:hyperlink>
    </w:p>
    <w:p w14:paraId="64416EED" w14:textId="77777777" w:rsidR="00307F66" w:rsidRPr="0063630F" w:rsidRDefault="00307F66" w:rsidP="00307F66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1F33458A" w14:textId="77777777" w:rsidR="00DC1621" w:rsidRDefault="00DC1621" w:rsidP="00307F66">
      <w:pPr>
        <w:pStyle w:val="Subtitle"/>
        <w:rPr>
          <w:rStyle w:val="Strong"/>
          <w:rFonts w:cstheme="minorHAnsi"/>
          <w:color w:val="auto"/>
          <w:sz w:val="18"/>
          <w:szCs w:val="18"/>
          <w:lang w:eastAsia="cs-CZ"/>
        </w:rPr>
      </w:pPr>
    </w:p>
    <w:p w14:paraId="63A638F4" w14:textId="30A403D1" w:rsidR="00307F66" w:rsidRPr="00F323B4" w:rsidRDefault="00307F66" w:rsidP="00307F66">
      <w:pPr>
        <w:pStyle w:val="Subtitle"/>
        <w:rPr>
          <w:rStyle w:val="Strong"/>
          <w:rFonts w:cstheme="minorHAnsi"/>
          <w:color w:val="auto"/>
          <w:sz w:val="18"/>
          <w:szCs w:val="18"/>
          <w:lang w:eastAsia="cs-CZ"/>
        </w:rPr>
      </w:pPr>
      <w:r w:rsidRPr="00F323B4">
        <w:rPr>
          <w:rStyle w:val="Strong"/>
          <w:rFonts w:cstheme="minorHAnsi"/>
          <w:color w:val="auto"/>
          <w:sz w:val="18"/>
          <w:szCs w:val="18"/>
          <w:lang w:eastAsia="cs-CZ"/>
        </w:rPr>
        <w:t xml:space="preserve">O </w:t>
      </w:r>
      <w:proofErr w:type="spellStart"/>
      <w:r w:rsidRPr="00F323B4">
        <w:rPr>
          <w:rStyle w:val="Strong"/>
          <w:rFonts w:cstheme="minorHAnsi"/>
          <w:color w:val="auto"/>
          <w:sz w:val="18"/>
          <w:szCs w:val="18"/>
          <w:lang w:eastAsia="cs-CZ"/>
        </w:rPr>
        <w:t>Turnaround</w:t>
      </w:r>
      <w:proofErr w:type="spellEnd"/>
      <w:r w:rsidRPr="00F323B4">
        <w:rPr>
          <w:rStyle w:val="Strong"/>
          <w:rFonts w:cstheme="minorHAnsi"/>
          <w:color w:val="auto"/>
          <w:sz w:val="18"/>
          <w:szCs w:val="18"/>
          <w:lang w:eastAsia="cs-CZ"/>
        </w:rPr>
        <w:t xml:space="preserve"> Management </w:t>
      </w:r>
      <w:r w:rsidR="00214D6B" w:rsidRPr="00F323B4">
        <w:rPr>
          <w:rStyle w:val="Strong"/>
          <w:rFonts w:cstheme="minorHAnsi"/>
          <w:color w:val="auto"/>
          <w:sz w:val="18"/>
          <w:szCs w:val="18"/>
          <w:lang w:eastAsia="cs-CZ"/>
        </w:rPr>
        <w:t>Asociativní</w:t>
      </w:r>
      <w:r w:rsidRPr="00F323B4">
        <w:rPr>
          <w:rStyle w:val="Strong"/>
          <w:rFonts w:cstheme="minorHAnsi"/>
          <w:color w:val="auto"/>
          <w:sz w:val="18"/>
          <w:szCs w:val="18"/>
          <w:lang w:eastAsia="cs-CZ"/>
        </w:rPr>
        <w:t xml:space="preserve"> ČR (TMA ČR)</w:t>
      </w:r>
    </w:p>
    <w:p w14:paraId="11CE2837" w14:textId="77777777" w:rsidR="00330A47" w:rsidRPr="00F323B4" w:rsidRDefault="00330A47" w:rsidP="00307F66">
      <w:pPr>
        <w:pStyle w:val="Subtitle"/>
        <w:rPr>
          <w:rStyle w:val="Strong"/>
          <w:rFonts w:cstheme="minorHAnsi"/>
          <w:b w:val="0"/>
          <w:bCs w:val="0"/>
          <w:color w:val="auto"/>
          <w:sz w:val="18"/>
          <w:szCs w:val="18"/>
          <w:lang w:eastAsia="cs-CZ"/>
        </w:rPr>
      </w:pPr>
      <w:r w:rsidRPr="00F323B4">
        <w:rPr>
          <w:rStyle w:val="Strong"/>
          <w:rFonts w:cstheme="minorHAnsi"/>
          <w:b w:val="0"/>
          <w:bCs w:val="0"/>
          <w:color w:val="auto"/>
          <w:sz w:val="18"/>
          <w:szCs w:val="18"/>
          <w:lang w:eastAsia="cs-CZ"/>
        </w:rPr>
        <w:t xml:space="preserve">TMA ČR vznikla </w:t>
      </w:r>
      <w:r w:rsidR="00307F66" w:rsidRPr="00F323B4">
        <w:rPr>
          <w:rStyle w:val="Strong"/>
          <w:rFonts w:cstheme="minorHAnsi"/>
          <w:b w:val="0"/>
          <w:bCs w:val="0"/>
          <w:color w:val="auto"/>
          <w:sz w:val="18"/>
          <w:szCs w:val="18"/>
          <w:lang w:eastAsia="cs-CZ"/>
        </w:rPr>
        <w:t xml:space="preserve">v roce 2008 jako výhradní česká afilace neziskové společnosti </w:t>
      </w:r>
      <w:proofErr w:type="spellStart"/>
      <w:r w:rsidR="00307F66" w:rsidRPr="00F323B4">
        <w:rPr>
          <w:rStyle w:val="Strong"/>
          <w:rFonts w:cstheme="minorHAnsi"/>
          <w:b w:val="0"/>
          <w:bCs w:val="0"/>
          <w:color w:val="auto"/>
          <w:sz w:val="18"/>
          <w:szCs w:val="18"/>
          <w:lang w:eastAsia="cs-CZ"/>
        </w:rPr>
        <w:t>Turnaround</w:t>
      </w:r>
      <w:proofErr w:type="spellEnd"/>
      <w:r w:rsidR="00307F66" w:rsidRPr="00F323B4">
        <w:rPr>
          <w:rStyle w:val="Strong"/>
          <w:rFonts w:cstheme="minorHAnsi"/>
          <w:b w:val="0"/>
          <w:bCs w:val="0"/>
          <w:color w:val="auto"/>
          <w:sz w:val="18"/>
          <w:szCs w:val="18"/>
          <w:lang w:eastAsia="cs-CZ"/>
        </w:rPr>
        <w:t xml:space="preserve"> Management </w:t>
      </w:r>
      <w:proofErr w:type="spellStart"/>
      <w:r w:rsidR="00307F66" w:rsidRPr="00F323B4">
        <w:rPr>
          <w:rStyle w:val="Strong"/>
          <w:rFonts w:cstheme="minorHAnsi"/>
          <w:b w:val="0"/>
          <w:bCs w:val="0"/>
          <w:color w:val="auto"/>
          <w:sz w:val="18"/>
          <w:szCs w:val="18"/>
          <w:lang w:eastAsia="cs-CZ"/>
        </w:rPr>
        <w:t>Association</w:t>
      </w:r>
      <w:proofErr w:type="spellEnd"/>
      <w:r w:rsidR="00307F66" w:rsidRPr="00F323B4">
        <w:rPr>
          <w:rStyle w:val="Strong"/>
          <w:rFonts w:cstheme="minorHAnsi"/>
          <w:b w:val="0"/>
          <w:bCs w:val="0"/>
          <w:color w:val="auto"/>
          <w:sz w:val="18"/>
          <w:szCs w:val="18"/>
          <w:lang w:eastAsia="cs-CZ"/>
        </w:rPr>
        <w:t xml:space="preserve"> se sídlem v</w:t>
      </w:r>
      <w:r w:rsidRPr="00F323B4">
        <w:rPr>
          <w:rStyle w:val="Strong"/>
          <w:rFonts w:cstheme="minorHAnsi"/>
          <w:b w:val="0"/>
          <w:bCs w:val="0"/>
          <w:color w:val="auto"/>
          <w:sz w:val="18"/>
          <w:szCs w:val="18"/>
          <w:lang w:eastAsia="cs-CZ"/>
        </w:rPr>
        <w:t xml:space="preserve"> americkém </w:t>
      </w:r>
      <w:r w:rsidR="00307F66" w:rsidRPr="00F323B4">
        <w:rPr>
          <w:rStyle w:val="Strong"/>
          <w:rFonts w:cstheme="minorHAnsi"/>
          <w:b w:val="0"/>
          <w:bCs w:val="0"/>
          <w:color w:val="auto"/>
          <w:sz w:val="18"/>
          <w:szCs w:val="18"/>
          <w:lang w:eastAsia="cs-CZ"/>
        </w:rPr>
        <w:t>Chicagu. Jedná se o nezávislé sdružení odborníků v oblasti „</w:t>
      </w:r>
      <w:proofErr w:type="spellStart"/>
      <w:r w:rsidR="00307F66" w:rsidRPr="00F323B4">
        <w:rPr>
          <w:rStyle w:val="Strong"/>
          <w:rFonts w:cstheme="minorHAnsi"/>
          <w:b w:val="0"/>
          <w:bCs w:val="0"/>
          <w:color w:val="auto"/>
          <w:sz w:val="18"/>
          <w:szCs w:val="18"/>
          <w:lang w:eastAsia="cs-CZ"/>
        </w:rPr>
        <w:t>turnaround</w:t>
      </w:r>
      <w:proofErr w:type="spellEnd"/>
      <w:r w:rsidR="00307F66" w:rsidRPr="00F323B4">
        <w:rPr>
          <w:rStyle w:val="Strong"/>
          <w:rFonts w:cstheme="minorHAnsi"/>
          <w:b w:val="0"/>
          <w:bCs w:val="0"/>
          <w:color w:val="auto"/>
          <w:sz w:val="18"/>
          <w:szCs w:val="18"/>
          <w:lang w:eastAsia="cs-CZ"/>
        </w:rPr>
        <w:t xml:space="preserve"> managementu“, insolvenčního práva a oblasti korporačních financí. Slouží jako mezioborová platforma pro spolupráci a sdílení znalostí a zkušeností mezi osobami, zabývajícími se problematikou insolvence a jejího řešení. </w:t>
      </w:r>
    </w:p>
    <w:p w14:paraId="593ECC06" w14:textId="47D6D5EF" w:rsidR="00330A47" w:rsidRPr="00F323B4" w:rsidRDefault="00307F66" w:rsidP="00054663">
      <w:pPr>
        <w:pStyle w:val="Subtitle"/>
        <w:rPr>
          <w:rFonts w:cstheme="minorHAnsi"/>
          <w:lang w:eastAsia="cs-CZ"/>
        </w:rPr>
      </w:pPr>
      <w:r w:rsidRPr="00F323B4">
        <w:rPr>
          <w:rStyle w:val="Strong"/>
          <w:rFonts w:cstheme="minorHAnsi"/>
          <w:b w:val="0"/>
          <w:bCs w:val="0"/>
          <w:color w:val="auto"/>
          <w:sz w:val="18"/>
          <w:szCs w:val="18"/>
          <w:lang w:eastAsia="cs-CZ"/>
        </w:rPr>
        <w:t>O</w:t>
      </w:r>
      <w:r w:rsidR="00330A47" w:rsidRPr="00F323B4">
        <w:rPr>
          <w:rStyle w:val="Strong"/>
          <w:rFonts w:cstheme="minorHAnsi"/>
          <w:b w:val="0"/>
          <w:bCs w:val="0"/>
          <w:color w:val="auto"/>
          <w:sz w:val="18"/>
          <w:szCs w:val="18"/>
          <w:lang w:eastAsia="cs-CZ"/>
        </w:rPr>
        <w:t>d</w:t>
      </w:r>
      <w:r w:rsidRPr="00F323B4">
        <w:rPr>
          <w:rStyle w:val="Strong"/>
          <w:rFonts w:cstheme="minorHAnsi"/>
          <w:b w:val="0"/>
          <w:bCs w:val="0"/>
          <w:color w:val="auto"/>
          <w:sz w:val="18"/>
          <w:szCs w:val="18"/>
          <w:lang w:eastAsia="cs-CZ"/>
        </w:rPr>
        <w:t xml:space="preserve"> roku 2013 pořádá TMA ČR Restrukturalizační fórum, které si klade za cíl </w:t>
      </w:r>
      <w:r w:rsidR="00330A47" w:rsidRPr="00F323B4">
        <w:rPr>
          <w:rStyle w:val="Strong"/>
          <w:rFonts w:cstheme="minorHAnsi"/>
          <w:b w:val="0"/>
          <w:bCs w:val="0"/>
          <w:color w:val="auto"/>
          <w:sz w:val="18"/>
          <w:szCs w:val="18"/>
          <w:lang w:eastAsia="cs-CZ"/>
        </w:rPr>
        <w:t>př</w:t>
      </w:r>
      <w:r w:rsidRPr="00F323B4">
        <w:rPr>
          <w:rFonts w:eastAsia="Times New Roman" w:cstheme="minorHAnsi"/>
          <w:color w:val="auto"/>
          <w:sz w:val="18"/>
          <w:szCs w:val="18"/>
          <w:lang w:eastAsia="cs-CZ"/>
        </w:rPr>
        <w:t xml:space="preserve">edstavit proces restrukturalizace firem na zajímavých příkladech z praxe a podpořit výměnu názorů, sdílení znalostí a zkušeností </w:t>
      </w:r>
      <w:r w:rsidR="00330A47" w:rsidRPr="00F323B4">
        <w:rPr>
          <w:rFonts w:eastAsia="Times New Roman" w:cstheme="minorHAnsi"/>
          <w:color w:val="auto"/>
          <w:sz w:val="18"/>
          <w:szCs w:val="18"/>
          <w:lang w:eastAsia="cs-CZ"/>
        </w:rPr>
        <w:t>oborových profesionálů</w:t>
      </w:r>
      <w:r w:rsidR="00330A47" w:rsidRPr="00F323B4">
        <w:rPr>
          <w:rFonts w:cstheme="minorHAnsi"/>
          <w:color w:val="auto"/>
          <w:sz w:val="18"/>
          <w:szCs w:val="18"/>
          <w:shd w:val="clear" w:color="auto" w:fill="FFFFFF"/>
        </w:rPr>
        <w:t>. Více informací naleznete na webu</w:t>
      </w:r>
      <w:r w:rsidR="00992778" w:rsidRPr="00F323B4">
        <w:rPr>
          <w:rFonts w:cstheme="minorHAnsi"/>
          <w:b/>
          <w:bCs/>
          <w:color w:val="auto"/>
          <w:sz w:val="18"/>
          <w:szCs w:val="18"/>
          <w:shd w:val="clear" w:color="auto" w:fill="FFFFFF"/>
        </w:rPr>
        <w:t xml:space="preserve"> </w:t>
      </w:r>
      <w:hyperlink r:id="rId12" w:history="1">
        <w:r w:rsidR="00992778" w:rsidRPr="00F323B4">
          <w:rPr>
            <w:rStyle w:val="Hyperlink"/>
            <w:rFonts w:cstheme="minorHAnsi"/>
            <w:b/>
            <w:bCs/>
            <w:sz w:val="18"/>
            <w:szCs w:val="18"/>
            <w:shd w:val="clear" w:color="auto" w:fill="FFFFFF"/>
          </w:rPr>
          <w:t>www.turnaround.cz</w:t>
        </w:r>
      </w:hyperlink>
      <w:r w:rsidR="00330A47" w:rsidRPr="00F323B4">
        <w:rPr>
          <w:rFonts w:cstheme="minorHAnsi"/>
          <w:b/>
          <w:bCs/>
          <w:color w:val="auto"/>
          <w:sz w:val="18"/>
          <w:szCs w:val="18"/>
          <w:shd w:val="clear" w:color="auto" w:fill="FFFFFF"/>
        </w:rPr>
        <w:t>.</w:t>
      </w:r>
    </w:p>
    <w:sectPr w:rsidR="00330A47" w:rsidRPr="00F323B4" w:rsidSect="00763D66">
      <w:headerReference w:type="default" r:id="rId13"/>
      <w:pgSz w:w="11906" w:h="16838"/>
      <w:pgMar w:top="993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AD407" w14:textId="77777777" w:rsidR="005A3137" w:rsidRDefault="005A3137" w:rsidP="009F31E3">
      <w:pPr>
        <w:spacing w:after="0" w:line="240" w:lineRule="auto"/>
      </w:pPr>
      <w:r>
        <w:separator/>
      </w:r>
    </w:p>
  </w:endnote>
  <w:endnote w:type="continuationSeparator" w:id="0">
    <w:p w14:paraId="1D06AED8" w14:textId="77777777" w:rsidR="005A3137" w:rsidRDefault="005A3137" w:rsidP="009F3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54482" w14:textId="77777777" w:rsidR="005A3137" w:rsidRDefault="005A3137" w:rsidP="009F31E3">
      <w:pPr>
        <w:spacing w:after="0" w:line="240" w:lineRule="auto"/>
      </w:pPr>
      <w:r>
        <w:separator/>
      </w:r>
    </w:p>
  </w:footnote>
  <w:footnote w:type="continuationSeparator" w:id="0">
    <w:p w14:paraId="5FDD8AFE" w14:textId="77777777" w:rsidR="005A3137" w:rsidRDefault="005A3137" w:rsidP="009F3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3B361" w14:textId="3EF296EA" w:rsidR="009F31E3" w:rsidRDefault="004D722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A5E43A" wp14:editId="58BD08D8">
          <wp:simplePos x="0" y="0"/>
          <wp:positionH relativeFrom="margin">
            <wp:posOffset>4862829</wp:posOffset>
          </wp:positionH>
          <wp:positionV relativeFrom="paragraph">
            <wp:posOffset>-278130</wp:posOffset>
          </wp:positionV>
          <wp:extent cx="1228725" cy="762121"/>
          <wp:effectExtent l="0" t="0" r="0" b="0"/>
          <wp:wrapNone/>
          <wp:docPr id="22" name="Picture 22" descr="TMA Talks (播客) - TMA ČR | Listen No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MA Talks (播客) - TMA ČR | Listen Note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253" b="17721"/>
                  <a:stretch/>
                </pic:blipFill>
                <pic:spPr bwMode="auto">
                  <a:xfrm>
                    <a:off x="0" y="0"/>
                    <a:ext cx="1233305" cy="7649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31E3">
      <w:rPr>
        <w:noProof/>
      </w:rPr>
      <w:drawing>
        <wp:anchor distT="0" distB="0" distL="114300" distR="114300" simplePos="0" relativeHeight="251659264" behindDoc="1" locked="0" layoutInCell="1" allowOverlap="1" wp14:anchorId="379783E9" wp14:editId="5044A358">
          <wp:simplePos x="0" y="0"/>
          <wp:positionH relativeFrom="column">
            <wp:posOffset>-242570</wp:posOffset>
          </wp:positionH>
          <wp:positionV relativeFrom="paragraph">
            <wp:posOffset>-268605</wp:posOffset>
          </wp:positionV>
          <wp:extent cx="1181100" cy="749483"/>
          <wp:effectExtent l="0" t="0" r="0" b="0"/>
          <wp:wrapNone/>
          <wp:docPr id="23" name="Picture 23" descr="Chart, histo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7" descr="Chart, histogram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14" b="15916"/>
                  <a:stretch/>
                </pic:blipFill>
                <pic:spPr bwMode="auto">
                  <a:xfrm>
                    <a:off x="0" y="0"/>
                    <a:ext cx="1186303" cy="752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24D1"/>
    <w:multiLevelType w:val="multilevel"/>
    <w:tmpl w:val="45A8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415B19"/>
    <w:multiLevelType w:val="multilevel"/>
    <w:tmpl w:val="1E40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200032"/>
    <w:multiLevelType w:val="multilevel"/>
    <w:tmpl w:val="6634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9C"/>
    <w:rsid w:val="00003F72"/>
    <w:rsid w:val="00033697"/>
    <w:rsid w:val="00054663"/>
    <w:rsid w:val="000743AE"/>
    <w:rsid w:val="000A2035"/>
    <w:rsid w:val="000A5F2A"/>
    <w:rsid w:val="000D649F"/>
    <w:rsid w:val="000F78D2"/>
    <w:rsid w:val="00125DBC"/>
    <w:rsid w:val="00163D49"/>
    <w:rsid w:val="001649F1"/>
    <w:rsid w:val="001C24B0"/>
    <w:rsid w:val="001C38A0"/>
    <w:rsid w:val="001F672A"/>
    <w:rsid w:val="00214D6B"/>
    <w:rsid w:val="00250816"/>
    <w:rsid w:val="00261826"/>
    <w:rsid w:val="002B1BA9"/>
    <w:rsid w:val="00307389"/>
    <w:rsid w:val="00307F66"/>
    <w:rsid w:val="0031705D"/>
    <w:rsid w:val="00330A47"/>
    <w:rsid w:val="00373448"/>
    <w:rsid w:val="003817EB"/>
    <w:rsid w:val="003833DD"/>
    <w:rsid w:val="003D259C"/>
    <w:rsid w:val="00427962"/>
    <w:rsid w:val="004613DF"/>
    <w:rsid w:val="00464861"/>
    <w:rsid w:val="004B32BD"/>
    <w:rsid w:val="004D722E"/>
    <w:rsid w:val="004F6192"/>
    <w:rsid w:val="005440C7"/>
    <w:rsid w:val="0056174B"/>
    <w:rsid w:val="005732B2"/>
    <w:rsid w:val="005A3137"/>
    <w:rsid w:val="0063630F"/>
    <w:rsid w:val="0068287C"/>
    <w:rsid w:val="006C698A"/>
    <w:rsid w:val="006E4FA4"/>
    <w:rsid w:val="007022DB"/>
    <w:rsid w:val="00763D66"/>
    <w:rsid w:val="00777B3F"/>
    <w:rsid w:val="00802392"/>
    <w:rsid w:val="00845352"/>
    <w:rsid w:val="00845B67"/>
    <w:rsid w:val="00895DDE"/>
    <w:rsid w:val="00896843"/>
    <w:rsid w:val="00896E43"/>
    <w:rsid w:val="008973D3"/>
    <w:rsid w:val="008D066D"/>
    <w:rsid w:val="00943C89"/>
    <w:rsid w:val="0095535D"/>
    <w:rsid w:val="00992778"/>
    <w:rsid w:val="00992FCF"/>
    <w:rsid w:val="009C5A51"/>
    <w:rsid w:val="009F31E3"/>
    <w:rsid w:val="00A325DD"/>
    <w:rsid w:val="00A62FFB"/>
    <w:rsid w:val="00A65612"/>
    <w:rsid w:val="00A71013"/>
    <w:rsid w:val="00A9340E"/>
    <w:rsid w:val="00AB60FC"/>
    <w:rsid w:val="00AE18E9"/>
    <w:rsid w:val="00AF7074"/>
    <w:rsid w:val="00B4373B"/>
    <w:rsid w:val="00B66A12"/>
    <w:rsid w:val="00B72378"/>
    <w:rsid w:val="00B925FA"/>
    <w:rsid w:val="00BA7369"/>
    <w:rsid w:val="00BB5640"/>
    <w:rsid w:val="00C03254"/>
    <w:rsid w:val="00C261A8"/>
    <w:rsid w:val="00C37134"/>
    <w:rsid w:val="00C37F73"/>
    <w:rsid w:val="00C6424B"/>
    <w:rsid w:val="00CA6436"/>
    <w:rsid w:val="00CB0241"/>
    <w:rsid w:val="00D004FC"/>
    <w:rsid w:val="00D40740"/>
    <w:rsid w:val="00D54E98"/>
    <w:rsid w:val="00D75BA0"/>
    <w:rsid w:val="00D777F4"/>
    <w:rsid w:val="00D80BDE"/>
    <w:rsid w:val="00D93A1A"/>
    <w:rsid w:val="00DC1621"/>
    <w:rsid w:val="00DC6ADD"/>
    <w:rsid w:val="00DF3B54"/>
    <w:rsid w:val="00E15C5B"/>
    <w:rsid w:val="00E36C90"/>
    <w:rsid w:val="00E37E4C"/>
    <w:rsid w:val="00E46820"/>
    <w:rsid w:val="00E500BB"/>
    <w:rsid w:val="00E5068B"/>
    <w:rsid w:val="00E579E7"/>
    <w:rsid w:val="00E7117A"/>
    <w:rsid w:val="00E84DC2"/>
    <w:rsid w:val="00E93A7D"/>
    <w:rsid w:val="00EB697D"/>
    <w:rsid w:val="00EC1D8D"/>
    <w:rsid w:val="00EC6F12"/>
    <w:rsid w:val="00EE3A07"/>
    <w:rsid w:val="00F01093"/>
    <w:rsid w:val="00F22BBF"/>
    <w:rsid w:val="00F323B4"/>
    <w:rsid w:val="00F3427B"/>
    <w:rsid w:val="00F470A3"/>
    <w:rsid w:val="00F80621"/>
    <w:rsid w:val="00F844FC"/>
    <w:rsid w:val="00F95C55"/>
    <w:rsid w:val="00FA2163"/>
    <w:rsid w:val="00FB3E94"/>
    <w:rsid w:val="00FF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AA68C"/>
  <w15:chartTrackingRefBased/>
  <w15:docId w15:val="{13556BCF-C34A-46BD-A16E-40DCC2C2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7F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34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448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0A5F2A"/>
  </w:style>
  <w:style w:type="paragraph" w:styleId="Header">
    <w:name w:val="header"/>
    <w:basedOn w:val="Normal"/>
    <w:link w:val="HeaderChar"/>
    <w:uiPriority w:val="99"/>
    <w:unhideWhenUsed/>
    <w:rsid w:val="009F3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1E3"/>
  </w:style>
  <w:style w:type="paragraph" w:styleId="Footer">
    <w:name w:val="footer"/>
    <w:basedOn w:val="Normal"/>
    <w:link w:val="FooterChar"/>
    <w:uiPriority w:val="99"/>
    <w:unhideWhenUsed/>
    <w:rsid w:val="009F3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1E3"/>
  </w:style>
  <w:style w:type="character" w:styleId="CommentReference">
    <w:name w:val="annotation reference"/>
    <w:basedOn w:val="DefaultParagraphFont"/>
    <w:uiPriority w:val="99"/>
    <w:semiHidden/>
    <w:unhideWhenUsed/>
    <w:rsid w:val="004D72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2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2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2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22E"/>
    <w:rPr>
      <w:b/>
      <w:bCs/>
      <w:sz w:val="20"/>
      <w:szCs w:val="20"/>
    </w:rPr>
  </w:style>
  <w:style w:type="paragraph" w:styleId="NoSpacing">
    <w:name w:val="No Spacing"/>
    <w:uiPriority w:val="1"/>
    <w:qFormat/>
    <w:rsid w:val="00307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eading1Char">
    <w:name w:val="Heading 1 Char"/>
    <w:basedOn w:val="DefaultParagraphFont"/>
    <w:link w:val="Heading1"/>
    <w:uiPriority w:val="9"/>
    <w:rsid w:val="00307F6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alWeb">
    <w:name w:val="Normal (Web)"/>
    <w:basedOn w:val="Normal"/>
    <w:uiPriority w:val="99"/>
    <w:semiHidden/>
    <w:unhideWhenUsed/>
    <w:rsid w:val="00307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307F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F6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07F66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9927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urnaround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gor@phoenixcom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nference@turnaround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urnaround.cz/restrukturalizacni-forum-2021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08EF2-8266-4361-BE5B-BB6AA8D9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929</Words>
  <Characters>5486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| PHOENIXCOM</dc:creator>
  <cp:keywords/>
  <dc:description/>
  <cp:lastModifiedBy>Igor Walter | PHOENIXCOM</cp:lastModifiedBy>
  <cp:revision>2</cp:revision>
  <dcterms:created xsi:type="dcterms:W3CDTF">2021-10-25T14:06:00Z</dcterms:created>
  <dcterms:modified xsi:type="dcterms:W3CDTF">2021-10-25T14:06:00Z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a104e-2916-42dc-a2f6-6210338509ed_Enabled">
    <vt:lpwstr>true</vt:lpwstr>
  </property>
  <property fmtid="{D5CDD505-2E9C-101B-9397-08002B2CF9AE}" pid="3" name="MSIP_Label_2b3a104e-2916-42dc-a2f6-6210338509ed_SetDate">
    <vt:lpwstr>2021-10-21T12:48:03Z</vt:lpwstr>
  </property>
  <property fmtid="{D5CDD505-2E9C-101B-9397-08002B2CF9AE}" pid="4" name="MSIP_Label_2b3a104e-2916-42dc-a2f6-6210338509ed_Method">
    <vt:lpwstr>Standard</vt:lpwstr>
  </property>
  <property fmtid="{D5CDD505-2E9C-101B-9397-08002B2CF9AE}" pid="5" name="MSIP_Label_2b3a104e-2916-42dc-a2f6-6210338509ed_Name">
    <vt:lpwstr>2b3a104e-2916-42dc-a2f6-6210338509ed</vt:lpwstr>
  </property>
  <property fmtid="{D5CDD505-2E9C-101B-9397-08002B2CF9AE}" pid="6" name="MSIP_Label_2b3a104e-2916-42dc-a2f6-6210338509ed_SiteId">
    <vt:lpwstr>e70aafb3-2e89-46a5-ba50-66803e8a4411</vt:lpwstr>
  </property>
  <property fmtid="{D5CDD505-2E9C-101B-9397-08002B2CF9AE}" pid="7" name="MSIP_Label_2b3a104e-2916-42dc-a2f6-6210338509ed_ActionId">
    <vt:lpwstr>9ab7a3a4-387b-4556-a40b-7111754f4be9</vt:lpwstr>
  </property>
  <property fmtid="{D5CDD505-2E9C-101B-9397-08002B2CF9AE}" pid="8" name="MSIP_Label_2b3a104e-2916-42dc-a2f6-6210338509ed_ContentBits">
    <vt:lpwstr>1</vt:lpwstr>
  </property>
</Properties>
</file>