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2A500" w14:textId="77777777" w:rsidR="00047F87" w:rsidRPr="00892400" w:rsidRDefault="00047F87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6960C598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408934D5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V Parku 2335/20</w:t>
      </w:r>
    </w:p>
    <w:p w14:paraId="6ABC9655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148 00 Praha 4, Česká rep.</w:t>
      </w:r>
    </w:p>
    <w:p w14:paraId="5FE03B9B" w14:textId="77777777" w:rsidR="001202F6" w:rsidRPr="00892400" w:rsidRDefault="00000000" w:rsidP="001202F6">
      <w:pPr>
        <w:framePr w:w="2083" w:h="2986" w:hRule="exact" w:hSpace="141" w:wrap="around" w:vAnchor="text" w:hAnchor="page" w:x="9210" w:y="53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0">
        <w:r w:rsidR="001202F6" w:rsidRPr="00892400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385B8565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A195699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291BFC6E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Igor Walter</w:t>
      </w:r>
    </w:p>
    <w:p w14:paraId="31AFE16D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Phoenix Communication, a.s.</w:t>
      </w:r>
    </w:p>
    <w:p w14:paraId="4367E7CB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M: +420 </w:t>
      </w:r>
      <w:r w:rsidRPr="00892400">
        <w:rPr>
          <w:rFonts w:ascii="Arial" w:hAnsi="Arial" w:cs="Arial"/>
          <w:sz w:val="16"/>
          <w:szCs w:val="16"/>
          <w:lang w:val="cs-CZ" w:eastAsia="cs-CZ"/>
        </w:rPr>
        <w:t>777 658 876</w:t>
      </w:r>
      <w:r w:rsidRPr="00892400">
        <w:rPr>
          <w:rFonts w:ascii="Arial" w:hAnsi="Arial" w:cs="Arial"/>
          <w:lang w:val="cs-CZ" w:eastAsia="cs-CZ"/>
        </w:rPr>
        <w:t xml:space="preserve"> </w:t>
      </w:r>
      <w:hyperlink r:id="rId11">
        <w:r w:rsidRPr="00892400"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04341E62" w14:textId="77777777" w:rsidR="001202F6" w:rsidRPr="00892400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5E7E3B97" w14:textId="77777777" w:rsidR="000C4FA1" w:rsidRPr="00892400" w:rsidRDefault="000C4FA1" w:rsidP="000C4FA1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53B0BB75" w14:textId="47318D9A" w:rsidR="00DC7BA1" w:rsidRPr="006D16BD" w:rsidRDefault="00DC7BA1" w:rsidP="000C4FA1">
      <w:pPr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 w:rsidRPr="006D16BD">
        <w:rPr>
          <w:rFonts w:ascii="Arial" w:hAnsi="Arial" w:cs="Arial"/>
          <w:b/>
          <w:bCs/>
          <w:sz w:val="28"/>
          <w:szCs w:val="28"/>
          <w:lang w:val="cs-CZ"/>
        </w:rPr>
        <w:t xml:space="preserve">Využijte NZÚ k nákupu tepelného čerpadla </w:t>
      </w:r>
    </w:p>
    <w:p w14:paraId="23593D42" w14:textId="3F92C767" w:rsidR="002B6ECA" w:rsidRPr="00DC7BA1" w:rsidRDefault="00DC7BA1" w:rsidP="00DC7BA1">
      <w:pPr>
        <w:jc w:val="center"/>
        <w:rPr>
          <w:rFonts w:ascii="Arial" w:hAnsi="Arial" w:cs="Arial"/>
          <w:b/>
          <w:bCs/>
          <w:szCs w:val="24"/>
          <w:lang w:val="cs-CZ"/>
        </w:rPr>
      </w:pPr>
      <w:r w:rsidRPr="006D16BD">
        <w:rPr>
          <w:rFonts w:ascii="Arial" w:hAnsi="Arial" w:cs="Arial"/>
          <w:b/>
          <w:bCs/>
          <w:sz w:val="28"/>
          <w:szCs w:val="28"/>
          <w:lang w:val="cs-CZ"/>
        </w:rPr>
        <w:t>a vyhněte se pokutě za starý kotel</w:t>
      </w:r>
    </w:p>
    <w:p w14:paraId="318FE47E" w14:textId="77777777" w:rsidR="000C4FA1" w:rsidRPr="00892400" w:rsidRDefault="000C4FA1" w:rsidP="002B6ECA">
      <w:pPr>
        <w:rPr>
          <w:rFonts w:ascii="Arial" w:hAnsi="Arial" w:cs="Arial"/>
          <w:sz w:val="20"/>
          <w:lang w:val="cs-CZ"/>
        </w:rPr>
      </w:pPr>
    </w:p>
    <w:p w14:paraId="52D2F8DB" w14:textId="2816BF7F" w:rsidR="00DC7BA1" w:rsidRPr="006D16BD" w:rsidRDefault="000C4FA1" w:rsidP="00DC7BA1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6D16BD">
        <w:rPr>
          <w:rFonts w:ascii="Arial" w:hAnsi="Arial" w:cs="Arial"/>
          <w:sz w:val="20"/>
          <w:lang w:val="cs-CZ"/>
        </w:rPr>
        <w:t xml:space="preserve">Praha, </w:t>
      </w:r>
      <w:r w:rsidR="006D16BD">
        <w:rPr>
          <w:rFonts w:ascii="Arial" w:hAnsi="Arial" w:cs="Arial"/>
          <w:sz w:val="20"/>
          <w:lang w:val="cs-CZ"/>
        </w:rPr>
        <w:t>5</w:t>
      </w:r>
      <w:r w:rsidRPr="006D16BD">
        <w:rPr>
          <w:rFonts w:ascii="Arial" w:hAnsi="Arial" w:cs="Arial"/>
          <w:sz w:val="20"/>
          <w:lang w:val="cs-CZ"/>
        </w:rPr>
        <w:t xml:space="preserve">. </w:t>
      </w:r>
      <w:r w:rsidR="006D16BD" w:rsidRPr="006D16BD">
        <w:rPr>
          <w:rFonts w:ascii="Arial" w:hAnsi="Arial" w:cs="Arial"/>
          <w:sz w:val="20"/>
          <w:lang w:val="cs-CZ"/>
        </w:rPr>
        <w:t>září</w:t>
      </w:r>
      <w:r w:rsidRPr="006D16BD">
        <w:rPr>
          <w:rFonts w:ascii="Arial" w:hAnsi="Arial" w:cs="Arial"/>
          <w:sz w:val="20"/>
          <w:lang w:val="cs-CZ"/>
        </w:rPr>
        <w:t xml:space="preserve"> 2024 –</w:t>
      </w:r>
      <w:r w:rsidR="00DC7BA1" w:rsidRPr="006D16BD">
        <w:rPr>
          <w:rFonts w:ascii="Arial" w:hAnsi="Arial" w:cs="Arial"/>
          <w:sz w:val="20"/>
          <w:lang w:val="cs-CZ"/>
        </w:rPr>
        <w:t xml:space="preserve"> </w:t>
      </w:r>
      <w:r w:rsidR="00DC7BA1" w:rsidRPr="006D16BD">
        <w:rPr>
          <w:rFonts w:ascii="Arial" w:hAnsi="Arial" w:cs="Arial"/>
          <w:b/>
          <w:sz w:val="20"/>
          <w:lang w:val="cs-CZ"/>
        </w:rPr>
        <w:t xml:space="preserve">Na začátku září </w:t>
      </w:r>
      <w:r w:rsidR="00551989">
        <w:rPr>
          <w:rFonts w:ascii="Arial" w:hAnsi="Arial" w:cs="Arial"/>
          <w:b/>
          <w:sz w:val="20"/>
          <w:lang w:val="cs-CZ"/>
        </w:rPr>
        <w:t>nastaly změny</w:t>
      </w:r>
      <w:r w:rsidR="00DC7BA1" w:rsidRPr="006D16BD">
        <w:rPr>
          <w:rFonts w:ascii="Arial" w:hAnsi="Arial" w:cs="Arial"/>
          <w:b/>
          <w:sz w:val="20"/>
          <w:lang w:val="cs-CZ"/>
        </w:rPr>
        <w:t xml:space="preserve"> v rámci dotačního programu Nová zelená úsporám a úpravami prošel i program Nová zelená úsporám </w:t>
      </w:r>
      <w:proofErr w:type="spellStart"/>
      <w:r w:rsidR="00DC7BA1" w:rsidRPr="006D16BD">
        <w:rPr>
          <w:rFonts w:ascii="Arial" w:hAnsi="Arial" w:cs="Arial"/>
          <w:b/>
          <w:sz w:val="20"/>
          <w:lang w:val="cs-CZ"/>
        </w:rPr>
        <w:t>Light</w:t>
      </w:r>
      <w:proofErr w:type="spellEnd"/>
      <w:r w:rsidR="00DC7BA1" w:rsidRPr="006D16BD">
        <w:rPr>
          <w:rFonts w:ascii="Arial" w:hAnsi="Arial" w:cs="Arial"/>
          <w:b/>
          <w:sz w:val="20"/>
          <w:lang w:val="cs-CZ"/>
        </w:rPr>
        <w:t xml:space="preserve">. Ten je určený seniorům i nízkopříjmovým domácnostem a nově přináší podporu na tepelná čerpadla při výměně starých kotlů na plyn a tuhá paliva. </w:t>
      </w:r>
      <w:r w:rsidR="00921DD4" w:rsidRPr="006D16BD">
        <w:rPr>
          <w:rFonts w:ascii="Arial" w:hAnsi="Arial" w:cs="Arial"/>
          <w:b/>
          <w:sz w:val="20"/>
          <w:lang w:val="cs-CZ"/>
        </w:rPr>
        <w:t xml:space="preserve">Komu a odkdy hrozí </w:t>
      </w:r>
      <w:r w:rsidR="00637D4A" w:rsidRPr="006D16BD">
        <w:rPr>
          <w:rFonts w:ascii="Arial" w:hAnsi="Arial" w:cs="Arial"/>
          <w:b/>
          <w:sz w:val="20"/>
          <w:lang w:val="cs-CZ"/>
        </w:rPr>
        <w:t xml:space="preserve">udělení </w:t>
      </w:r>
      <w:r w:rsidR="00921DD4" w:rsidRPr="006D16BD">
        <w:rPr>
          <w:rFonts w:ascii="Arial" w:hAnsi="Arial" w:cs="Arial"/>
          <w:b/>
          <w:sz w:val="20"/>
          <w:lang w:val="cs-CZ"/>
        </w:rPr>
        <w:t>pokut</w:t>
      </w:r>
      <w:r w:rsidR="00637D4A" w:rsidRPr="006D16BD">
        <w:rPr>
          <w:rFonts w:ascii="Arial" w:hAnsi="Arial" w:cs="Arial"/>
          <w:b/>
          <w:sz w:val="20"/>
          <w:lang w:val="cs-CZ"/>
        </w:rPr>
        <w:t>y</w:t>
      </w:r>
      <w:r w:rsidR="00921DD4" w:rsidRPr="006D16BD">
        <w:rPr>
          <w:rFonts w:ascii="Arial" w:hAnsi="Arial" w:cs="Arial"/>
          <w:b/>
          <w:sz w:val="20"/>
          <w:lang w:val="cs-CZ"/>
        </w:rPr>
        <w:t xml:space="preserve"> z</w:t>
      </w:r>
      <w:r w:rsidR="00DC7BA1" w:rsidRPr="006D16BD">
        <w:rPr>
          <w:rFonts w:ascii="Arial" w:hAnsi="Arial" w:cs="Arial"/>
          <w:b/>
          <w:sz w:val="20"/>
          <w:lang w:val="cs-CZ"/>
        </w:rPr>
        <w:t>a starý kotel? A s jak vysokou podporou můžete počítat v případě pořízení tepelné</w:t>
      </w:r>
      <w:r w:rsidR="00551989">
        <w:rPr>
          <w:rFonts w:ascii="Arial" w:hAnsi="Arial" w:cs="Arial"/>
          <w:b/>
          <w:sz w:val="20"/>
          <w:lang w:val="cs-CZ"/>
        </w:rPr>
        <w:t>ho</w:t>
      </w:r>
      <w:r w:rsidR="00DC7BA1" w:rsidRPr="006D16BD">
        <w:rPr>
          <w:rFonts w:ascii="Arial" w:hAnsi="Arial" w:cs="Arial"/>
          <w:b/>
          <w:sz w:val="20"/>
          <w:lang w:val="cs-CZ"/>
        </w:rPr>
        <w:t xml:space="preserve"> </w:t>
      </w:r>
      <w:r w:rsidR="00551989" w:rsidRPr="006D16BD">
        <w:rPr>
          <w:rFonts w:ascii="Arial" w:hAnsi="Arial" w:cs="Arial"/>
          <w:b/>
          <w:sz w:val="20"/>
          <w:lang w:val="cs-CZ"/>
        </w:rPr>
        <w:t>čerpadl</w:t>
      </w:r>
      <w:r w:rsidR="00551989">
        <w:rPr>
          <w:rFonts w:ascii="Arial" w:hAnsi="Arial" w:cs="Arial"/>
          <w:b/>
          <w:sz w:val="20"/>
          <w:lang w:val="cs-CZ"/>
        </w:rPr>
        <w:t>a</w:t>
      </w:r>
      <w:r w:rsidR="00551989" w:rsidRPr="006D16BD">
        <w:rPr>
          <w:rFonts w:ascii="Arial" w:hAnsi="Arial" w:cs="Arial"/>
          <w:b/>
          <w:sz w:val="20"/>
          <w:lang w:val="cs-CZ"/>
        </w:rPr>
        <w:t xml:space="preserve"> </w:t>
      </w:r>
      <w:r w:rsidR="00DC7BA1" w:rsidRPr="006D16BD">
        <w:rPr>
          <w:rFonts w:ascii="Arial" w:hAnsi="Arial" w:cs="Arial"/>
          <w:b/>
          <w:sz w:val="20"/>
          <w:lang w:val="cs-CZ"/>
        </w:rPr>
        <w:t>z</w:t>
      </w:r>
      <w:r w:rsidR="00637D4A" w:rsidRPr="006D16BD">
        <w:rPr>
          <w:rFonts w:ascii="Arial" w:hAnsi="Arial" w:cs="Arial"/>
          <w:b/>
          <w:sz w:val="20"/>
          <w:lang w:val="cs-CZ"/>
        </w:rPr>
        <w:t xml:space="preserve"> upravených </w:t>
      </w:r>
      <w:r w:rsidR="00DC7BA1" w:rsidRPr="006D16BD">
        <w:rPr>
          <w:rFonts w:ascii="Arial" w:hAnsi="Arial" w:cs="Arial"/>
          <w:b/>
          <w:sz w:val="20"/>
          <w:lang w:val="cs-CZ"/>
        </w:rPr>
        <w:t xml:space="preserve">dotačních programů NZÚ a NZÚ </w:t>
      </w:r>
      <w:proofErr w:type="spellStart"/>
      <w:r w:rsidR="00DC7BA1" w:rsidRPr="006D16BD">
        <w:rPr>
          <w:rFonts w:ascii="Arial" w:hAnsi="Arial" w:cs="Arial"/>
          <w:b/>
          <w:sz w:val="20"/>
          <w:lang w:val="cs-CZ"/>
        </w:rPr>
        <w:t>Light</w:t>
      </w:r>
      <w:proofErr w:type="spellEnd"/>
      <w:r w:rsidR="00DC7BA1" w:rsidRPr="006D16BD">
        <w:rPr>
          <w:rFonts w:ascii="Arial" w:hAnsi="Arial" w:cs="Arial"/>
          <w:b/>
          <w:sz w:val="20"/>
          <w:lang w:val="cs-CZ"/>
        </w:rPr>
        <w:t>?</w:t>
      </w:r>
    </w:p>
    <w:p w14:paraId="02A1CB7E" w14:textId="18A9E0D3" w:rsidR="00DC7BA1" w:rsidRPr="006D16BD" w:rsidRDefault="00DC7BA1" w:rsidP="00921DD4">
      <w:pPr>
        <w:tabs>
          <w:tab w:val="left" w:pos="1485"/>
        </w:tabs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B10331E" w14:textId="138AC78E" w:rsidR="00DC7BA1" w:rsidRPr="00AB03FD" w:rsidRDefault="00DC7BA1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  <w:r w:rsidRPr="00AB03FD">
        <w:rPr>
          <w:rFonts w:ascii="Arial" w:hAnsi="Arial" w:cs="Arial"/>
          <w:bCs/>
          <w:sz w:val="19"/>
          <w:szCs w:val="19"/>
          <w:lang w:val="cs-CZ"/>
        </w:rPr>
        <w:t>Od 1. září 2024 zač</w:t>
      </w:r>
      <w:r w:rsidR="006D16BD" w:rsidRPr="00AB03FD">
        <w:rPr>
          <w:rFonts w:ascii="Arial" w:hAnsi="Arial" w:cs="Arial"/>
          <w:bCs/>
          <w:sz w:val="19"/>
          <w:szCs w:val="19"/>
          <w:lang w:val="cs-CZ"/>
        </w:rPr>
        <w:t>al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v ČR platit zákaz provozu nejstarších kotlů, který byl do legislativy začleněn již v roce 2012. Zda domácnosti a firmy zákaz provozu kotlů 1. a 2. druhé emisní třídy skutečně dodržují, budou </w:t>
      </w:r>
      <w:r w:rsidR="00551989" w:rsidRPr="00AB03FD">
        <w:rPr>
          <w:rFonts w:ascii="Arial" w:hAnsi="Arial" w:cs="Arial"/>
          <w:bCs/>
          <w:sz w:val="19"/>
          <w:szCs w:val="19"/>
          <w:lang w:val="cs-CZ"/>
        </w:rPr>
        <w:t>po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dle Asociace pro využití tepelných čerpadel (AVTČ) prověřovat obecní úřady. Ty si mohou od provozovatele vyžádat protokol o kontrole kotle na pevná paliva. Podle něj poznají, jaký kotel je v dané nemovitosti v provozu. Pokuta za nedodržení zákazu se může vyšplhat až k 50 </w:t>
      </w:r>
      <w:r w:rsidR="00551989" w:rsidRPr="00AB03FD">
        <w:rPr>
          <w:rFonts w:ascii="Arial" w:hAnsi="Arial" w:cs="Arial"/>
          <w:bCs/>
          <w:sz w:val="19"/>
          <w:szCs w:val="19"/>
          <w:lang w:val="cs-CZ"/>
        </w:rPr>
        <w:t xml:space="preserve">000 </w:t>
      </w:r>
      <w:r w:rsidRPr="00AB03FD">
        <w:rPr>
          <w:rFonts w:ascii="Arial" w:hAnsi="Arial" w:cs="Arial"/>
          <w:bCs/>
          <w:sz w:val="19"/>
          <w:szCs w:val="19"/>
          <w:lang w:val="cs-CZ"/>
        </w:rPr>
        <w:t>korun a obce ji budou moct ukládat i opakovaně, dokud majitel nezjedná nápravu.</w:t>
      </w:r>
    </w:p>
    <w:p w14:paraId="1785F8EB" w14:textId="77777777" w:rsidR="00DC7BA1" w:rsidRPr="00AB03FD" w:rsidRDefault="00DC7BA1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09AAFBE2" w14:textId="74687AE1" w:rsidR="00DC7BA1" w:rsidRPr="00AB03FD" w:rsidRDefault="00DC7BA1" w:rsidP="00DC7BA1">
      <w:pPr>
        <w:spacing w:line="360" w:lineRule="auto"/>
        <w:rPr>
          <w:rFonts w:ascii="Arial" w:hAnsi="Arial" w:cs="Arial"/>
          <w:bCs/>
          <w:i/>
          <w:iCs/>
          <w:sz w:val="19"/>
          <w:szCs w:val="19"/>
          <w:lang w:val="cs-CZ"/>
        </w:rPr>
      </w:pPr>
      <w:r w:rsidRPr="00AB03FD">
        <w:rPr>
          <w:rFonts w:ascii="Arial" w:hAnsi="Arial" w:cs="Arial"/>
          <w:bCs/>
          <w:i/>
          <w:iCs/>
          <w:sz w:val="19"/>
          <w:szCs w:val="19"/>
          <w:lang w:val="cs-CZ"/>
        </w:rPr>
        <w:t>„Tepelná čerpadla mají samozřejmě vyšší pořizovací náklady než ostatní systémy vytápění, na druhou stranu je vhodné si uvědomit, že tuto investici neděláte na rok</w:t>
      </w:r>
      <w:r w:rsidR="00637D4A" w:rsidRPr="00AB03FD">
        <w:rPr>
          <w:rFonts w:ascii="Arial" w:hAnsi="Arial" w:cs="Arial"/>
          <w:bCs/>
          <w:i/>
          <w:iCs/>
          <w:sz w:val="19"/>
          <w:szCs w:val="19"/>
          <w:lang w:val="cs-CZ"/>
        </w:rPr>
        <w:t xml:space="preserve"> či pět</w:t>
      </w:r>
      <w:r w:rsidRPr="00AB03FD">
        <w:rPr>
          <w:rFonts w:ascii="Arial" w:hAnsi="Arial" w:cs="Arial"/>
          <w:bCs/>
          <w:i/>
          <w:iCs/>
          <w:sz w:val="19"/>
          <w:szCs w:val="19"/>
          <w:lang w:val="cs-CZ"/>
        </w:rPr>
        <w:t>, ale klidně na dalších 20</w:t>
      </w:r>
      <w:r w:rsidR="00551989" w:rsidRPr="00AB03FD">
        <w:rPr>
          <w:rFonts w:ascii="Arial" w:hAnsi="Arial" w:cs="Arial"/>
          <w:bCs/>
          <w:i/>
          <w:iCs/>
          <w:sz w:val="19"/>
          <w:szCs w:val="19"/>
          <w:lang w:val="cs-CZ"/>
        </w:rPr>
        <w:t xml:space="preserve"> až </w:t>
      </w:r>
      <w:r w:rsidRPr="00AB03FD">
        <w:rPr>
          <w:rFonts w:ascii="Arial" w:hAnsi="Arial" w:cs="Arial"/>
          <w:bCs/>
          <w:i/>
          <w:iCs/>
          <w:sz w:val="19"/>
          <w:szCs w:val="19"/>
          <w:lang w:val="cs-CZ"/>
        </w:rPr>
        <w:t>30 let. A když z nákladů odečtete poměrně štědrou dotaci, ekonomika může rázem vycházet velmi přátelsky k vašemu rodinnému rozpočtu,“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vysvětluje předseda </w:t>
      </w:r>
      <w:r w:rsidRPr="00AB03FD">
        <w:rPr>
          <w:rFonts w:ascii="Arial" w:hAnsi="Arial" w:cs="Arial"/>
          <w:b/>
          <w:sz w:val="19"/>
          <w:szCs w:val="19"/>
          <w:lang w:val="cs-CZ"/>
        </w:rPr>
        <w:t xml:space="preserve">AVTČ Radek </w:t>
      </w:r>
      <w:proofErr w:type="spellStart"/>
      <w:r w:rsidRPr="00AB03FD">
        <w:rPr>
          <w:rFonts w:ascii="Arial" w:hAnsi="Arial" w:cs="Arial"/>
          <w:b/>
          <w:sz w:val="19"/>
          <w:szCs w:val="19"/>
          <w:lang w:val="cs-CZ"/>
        </w:rPr>
        <w:t>Červín</w:t>
      </w:r>
      <w:proofErr w:type="spellEnd"/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a dodává: </w:t>
      </w:r>
      <w:r w:rsidRPr="00AB03FD">
        <w:rPr>
          <w:rFonts w:ascii="Arial" w:hAnsi="Arial" w:cs="Arial"/>
          <w:bCs/>
          <w:i/>
          <w:iCs/>
          <w:sz w:val="19"/>
          <w:szCs w:val="19"/>
          <w:lang w:val="cs-CZ"/>
        </w:rPr>
        <w:t xml:space="preserve">„Málokdo si uvědomuje, že už za tři roky začnou platit emisní povolenky na vytápění budov. Zatím není jisté, o kolik přesně domácnostem </w:t>
      </w:r>
      <w:proofErr w:type="gramStart"/>
      <w:r w:rsidRPr="00AB03FD">
        <w:rPr>
          <w:rFonts w:ascii="Arial" w:hAnsi="Arial" w:cs="Arial"/>
          <w:bCs/>
          <w:i/>
          <w:iCs/>
          <w:sz w:val="19"/>
          <w:szCs w:val="19"/>
          <w:lang w:val="cs-CZ"/>
        </w:rPr>
        <w:t>navýší</w:t>
      </w:r>
      <w:proofErr w:type="gramEnd"/>
      <w:r w:rsidRPr="00AB03FD">
        <w:rPr>
          <w:rFonts w:ascii="Arial" w:hAnsi="Arial" w:cs="Arial"/>
          <w:bCs/>
          <w:i/>
          <w:iCs/>
          <w:sz w:val="19"/>
          <w:szCs w:val="19"/>
          <w:lang w:val="cs-CZ"/>
        </w:rPr>
        <w:t xml:space="preserve"> faktury za fosilní paliva, ale tento aspekt může výrazně promluvit do návratnosti investice.“</w:t>
      </w:r>
    </w:p>
    <w:p w14:paraId="7F8DBC87" w14:textId="77777777" w:rsidR="00DC7BA1" w:rsidRPr="00AB03FD" w:rsidRDefault="00DC7BA1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0640C015" w14:textId="2D2AA0E3" w:rsidR="00DC7BA1" w:rsidRPr="00AB03FD" w:rsidRDefault="00DC7BA1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  <w:r w:rsidRPr="00AB03FD">
        <w:rPr>
          <w:rFonts w:ascii="Arial" w:hAnsi="Arial" w:cs="Arial"/>
          <w:bCs/>
          <w:sz w:val="19"/>
          <w:szCs w:val="19"/>
          <w:lang w:val="cs-CZ"/>
        </w:rPr>
        <w:t>Pořídit tepelné čerpadlo výrazně usnad</w:t>
      </w:r>
      <w:r w:rsidR="00921DD4" w:rsidRPr="00AB03FD">
        <w:rPr>
          <w:rFonts w:ascii="Arial" w:hAnsi="Arial" w:cs="Arial"/>
          <w:bCs/>
          <w:sz w:val="19"/>
          <w:szCs w:val="19"/>
          <w:lang w:val="cs-CZ"/>
        </w:rPr>
        <w:t xml:space="preserve">ňují zmiňované 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dotační programy </w:t>
      </w:r>
      <w:r w:rsidR="00637D4A" w:rsidRPr="00AB03FD">
        <w:rPr>
          <w:rFonts w:ascii="Arial" w:hAnsi="Arial" w:cs="Arial"/>
          <w:bCs/>
          <w:sz w:val="19"/>
          <w:szCs w:val="19"/>
          <w:lang w:val="cs-CZ"/>
        </w:rPr>
        <w:t>NZÚ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a N</w:t>
      </w:r>
      <w:r w:rsidR="00637D4A" w:rsidRPr="00AB03FD">
        <w:rPr>
          <w:rFonts w:ascii="Arial" w:hAnsi="Arial" w:cs="Arial"/>
          <w:bCs/>
          <w:sz w:val="19"/>
          <w:szCs w:val="19"/>
          <w:lang w:val="cs-CZ"/>
        </w:rPr>
        <w:t xml:space="preserve">ZÚ </w:t>
      </w:r>
      <w:proofErr w:type="spellStart"/>
      <w:r w:rsidRPr="00AB03FD">
        <w:rPr>
          <w:rFonts w:ascii="Arial" w:hAnsi="Arial" w:cs="Arial"/>
          <w:bCs/>
          <w:sz w:val="19"/>
          <w:szCs w:val="19"/>
          <w:lang w:val="cs-CZ"/>
        </w:rPr>
        <w:t>Light</w:t>
      </w:r>
      <w:proofErr w:type="spellEnd"/>
      <w:r w:rsidR="00637D4A" w:rsidRPr="00AB03FD">
        <w:rPr>
          <w:rFonts w:ascii="Arial" w:hAnsi="Arial" w:cs="Arial"/>
          <w:bCs/>
          <w:sz w:val="19"/>
          <w:szCs w:val="19"/>
          <w:lang w:val="cs-CZ"/>
        </w:rPr>
        <w:t xml:space="preserve">. </w:t>
      </w:r>
      <w:r w:rsidRPr="00AB03FD">
        <w:rPr>
          <w:rFonts w:ascii="Arial" w:hAnsi="Arial" w:cs="Arial"/>
          <w:bCs/>
          <w:sz w:val="19"/>
          <w:szCs w:val="19"/>
          <w:lang w:val="cs-CZ"/>
        </w:rPr>
        <w:t>Podívej</w:t>
      </w:r>
      <w:r w:rsidR="00637D4A" w:rsidRPr="00AB03FD">
        <w:rPr>
          <w:rFonts w:ascii="Arial" w:hAnsi="Arial" w:cs="Arial"/>
          <w:bCs/>
          <w:sz w:val="19"/>
          <w:szCs w:val="19"/>
          <w:lang w:val="cs-CZ"/>
        </w:rPr>
        <w:t>te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se, co oba programy </w:t>
      </w:r>
      <w:r w:rsidR="00637D4A" w:rsidRPr="00AB03FD">
        <w:rPr>
          <w:rFonts w:ascii="Arial" w:hAnsi="Arial" w:cs="Arial"/>
          <w:bCs/>
          <w:sz w:val="19"/>
          <w:szCs w:val="19"/>
          <w:lang w:val="cs-CZ"/>
        </w:rPr>
        <w:t xml:space="preserve">v obměněné podobě </w:t>
      </w:r>
      <w:r w:rsidRPr="00AB03FD">
        <w:rPr>
          <w:rFonts w:ascii="Arial" w:hAnsi="Arial" w:cs="Arial"/>
          <w:bCs/>
          <w:sz w:val="19"/>
          <w:szCs w:val="19"/>
          <w:lang w:val="cs-CZ"/>
        </w:rPr>
        <w:t>nabíz</w:t>
      </w:r>
      <w:r w:rsidR="00551989" w:rsidRPr="00AB03FD">
        <w:rPr>
          <w:rFonts w:ascii="Arial" w:hAnsi="Arial" w:cs="Arial"/>
          <w:bCs/>
          <w:sz w:val="19"/>
          <w:szCs w:val="19"/>
          <w:lang w:val="cs-CZ"/>
        </w:rPr>
        <w:t>ej</w:t>
      </w:r>
      <w:r w:rsidRPr="00AB03FD">
        <w:rPr>
          <w:rFonts w:ascii="Arial" w:hAnsi="Arial" w:cs="Arial"/>
          <w:bCs/>
          <w:sz w:val="19"/>
          <w:szCs w:val="19"/>
          <w:lang w:val="cs-CZ"/>
        </w:rPr>
        <w:t>í</w:t>
      </w:r>
      <w:r w:rsidR="00637D4A" w:rsidRPr="00AB03FD">
        <w:rPr>
          <w:rFonts w:ascii="Arial" w:hAnsi="Arial" w:cs="Arial"/>
          <w:bCs/>
          <w:sz w:val="19"/>
          <w:szCs w:val="19"/>
          <w:lang w:val="cs-CZ"/>
        </w:rPr>
        <w:t xml:space="preserve"> od 1. září</w:t>
      </w:r>
      <w:r w:rsidR="00921DD4" w:rsidRPr="00AB03FD">
        <w:rPr>
          <w:rFonts w:ascii="Arial" w:hAnsi="Arial" w:cs="Arial"/>
          <w:bCs/>
          <w:sz w:val="19"/>
          <w:szCs w:val="19"/>
          <w:lang w:val="cs-CZ"/>
        </w:rPr>
        <w:t>.</w:t>
      </w:r>
    </w:p>
    <w:p w14:paraId="48673B31" w14:textId="77777777" w:rsidR="00DC7BA1" w:rsidRPr="00AB03FD" w:rsidRDefault="00DC7BA1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7B86866B" w14:textId="77777777" w:rsidR="00DC7BA1" w:rsidRPr="00AB03FD" w:rsidRDefault="00DC7BA1" w:rsidP="00DC7BA1">
      <w:pPr>
        <w:spacing w:line="360" w:lineRule="auto"/>
        <w:rPr>
          <w:rFonts w:ascii="Arial" w:hAnsi="Arial" w:cs="Arial"/>
          <w:b/>
          <w:sz w:val="19"/>
          <w:szCs w:val="19"/>
          <w:lang w:val="cs-CZ"/>
        </w:rPr>
      </w:pPr>
      <w:r w:rsidRPr="00AB03FD">
        <w:rPr>
          <w:rFonts w:ascii="Arial" w:hAnsi="Arial" w:cs="Arial"/>
          <w:b/>
          <w:sz w:val="19"/>
          <w:szCs w:val="19"/>
          <w:lang w:val="cs-CZ"/>
        </w:rPr>
        <w:t>Nová zelená úsporám</w:t>
      </w:r>
    </w:p>
    <w:p w14:paraId="346590D9" w14:textId="533A40D3" w:rsidR="00921DD4" w:rsidRPr="00AB03FD" w:rsidRDefault="00DC7BA1" w:rsidP="00DC7BA1">
      <w:pPr>
        <w:spacing w:line="360" w:lineRule="auto"/>
        <w:rPr>
          <w:rFonts w:ascii="Arial" w:hAnsi="Arial" w:cs="Arial"/>
          <w:b/>
          <w:sz w:val="19"/>
          <w:szCs w:val="19"/>
          <w:lang w:val="cs-CZ"/>
        </w:rPr>
      </w:pPr>
      <w:r w:rsidRPr="00AB03FD">
        <w:rPr>
          <w:rFonts w:ascii="Arial" w:hAnsi="Arial" w:cs="Arial"/>
          <w:bCs/>
          <w:sz w:val="19"/>
          <w:szCs w:val="19"/>
          <w:lang w:val="cs-CZ"/>
        </w:rPr>
        <w:t>V rámci standardního programu Nová zelená úsporám, který rovněž podporuje výměnu kotlů 1. a 2. emisní třídy (i výměnu všech druhů kotlů na uhlí nebo koks a dalších neekologických zdrojů tepla)</w:t>
      </w:r>
      <w:r w:rsidR="00551989" w:rsidRPr="00AB03FD">
        <w:rPr>
          <w:rFonts w:ascii="Arial" w:hAnsi="Arial" w:cs="Arial"/>
          <w:bCs/>
          <w:sz w:val="19"/>
          <w:szCs w:val="19"/>
          <w:lang w:val="cs-CZ"/>
        </w:rPr>
        <w:t>,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dochází ke změně ve výši maximálních částek podpory. Změna v programu NZÚ se týká tepelných čerpadel a maximální dotační částka je stanovena na 130 </w:t>
      </w:r>
      <w:r w:rsidR="00551989" w:rsidRPr="00AB03FD">
        <w:rPr>
          <w:rFonts w:ascii="Arial" w:hAnsi="Arial" w:cs="Arial"/>
          <w:bCs/>
          <w:sz w:val="19"/>
          <w:szCs w:val="19"/>
          <w:lang w:val="cs-CZ"/>
        </w:rPr>
        <w:t xml:space="preserve">000 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Kč (systémy voda-voda, země-voda). U nejběžnějšího řešení podpory NZÚ v případě tepelných čerpadel systém vzduch-voda bude vyplácena částka 75 000 Kč, pokud čerpadlo </w:t>
      </w:r>
      <w:proofErr w:type="gramStart"/>
      <w:r w:rsidRPr="00AB03FD">
        <w:rPr>
          <w:rFonts w:ascii="Arial" w:hAnsi="Arial" w:cs="Arial"/>
          <w:bCs/>
          <w:sz w:val="19"/>
          <w:szCs w:val="19"/>
          <w:lang w:val="cs-CZ"/>
        </w:rPr>
        <w:t>slouží</w:t>
      </w:r>
      <w:proofErr w:type="gramEnd"/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pouze k vytápění. V případě systému, který kombinuje vytápění s ohřevem vody, je dotace ve výši 90 </w:t>
      </w:r>
      <w:r w:rsidR="00551989" w:rsidRPr="00AB03FD">
        <w:rPr>
          <w:rFonts w:ascii="Arial" w:hAnsi="Arial" w:cs="Arial"/>
          <w:bCs/>
          <w:sz w:val="19"/>
          <w:szCs w:val="19"/>
          <w:lang w:val="cs-CZ"/>
        </w:rPr>
        <w:t xml:space="preserve">000 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Kč. </w:t>
      </w:r>
    </w:p>
    <w:p w14:paraId="41B2DB8D" w14:textId="77777777" w:rsidR="00921DD4" w:rsidRPr="00AB03FD" w:rsidRDefault="00921DD4" w:rsidP="00DC7BA1">
      <w:pPr>
        <w:spacing w:line="360" w:lineRule="auto"/>
        <w:rPr>
          <w:rFonts w:ascii="Arial" w:hAnsi="Arial" w:cs="Arial"/>
          <w:b/>
          <w:sz w:val="19"/>
          <w:szCs w:val="19"/>
          <w:lang w:val="cs-CZ"/>
        </w:rPr>
      </w:pPr>
    </w:p>
    <w:p w14:paraId="057C638F" w14:textId="3BDBF122" w:rsidR="00DC7BA1" w:rsidRPr="00AB03FD" w:rsidRDefault="00DC7BA1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  <w:r w:rsidRPr="00AB03FD">
        <w:rPr>
          <w:rFonts w:ascii="Arial" w:hAnsi="Arial" w:cs="Arial"/>
          <w:b/>
          <w:sz w:val="19"/>
          <w:szCs w:val="19"/>
          <w:lang w:val="cs-CZ"/>
        </w:rPr>
        <w:t xml:space="preserve">Nová zelená úsporám </w:t>
      </w:r>
      <w:proofErr w:type="spellStart"/>
      <w:r w:rsidRPr="00AB03FD">
        <w:rPr>
          <w:rFonts w:ascii="Arial" w:hAnsi="Arial" w:cs="Arial"/>
          <w:b/>
          <w:sz w:val="19"/>
          <w:szCs w:val="19"/>
          <w:lang w:val="cs-CZ"/>
        </w:rPr>
        <w:t>Light</w:t>
      </w:r>
      <w:proofErr w:type="spellEnd"/>
      <w:r w:rsidR="00921DD4" w:rsidRPr="00AB03FD">
        <w:rPr>
          <w:rFonts w:ascii="Arial" w:hAnsi="Arial" w:cs="Arial"/>
          <w:b/>
          <w:sz w:val="19"/>
          <w:szCs w:val="19"/>
          <w:lang w:val="cs-CZ"/>
        </w:rPr>
        <w:br/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Program NZÚ </w:t>
      </w:r>
      <w:proofErr w:type="spellStart"/>
      <w:r w:rsidRPr="00AB03FD">
        <w:rPr>
          <w:rFonts w:ascii="Arial" w:hAnsi="Arial" w:cs="Arial"/>
          <w:bCs/>
          <w:sz w:val="19"/>
          <w:szCs w:val="19"/>
          <w:lang w:val="cs-CZ"/>
        </w:rPr>
        <w:t>Light</w:t>
      </w:r>
      <w:proofErr w:type="spellEnd"/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zůstává nadále určen pro domácnosti s nižšími příjmy. Zvýhodněnou podporu na </w:t>
      </w:r>
      <w:proofErr w:type="spellStart"/>
      <w:r w:rsidRPr="00AB03FD">
        <w:rPr>
          <w:rFonts w:ascii="Arial" w:hAnsi="Arial" w:cs="Arial"/>
          <w:bCs/>
          <w:sz w:val="19"/>
          <w:szCs w:val="19"/>
          <w:lang w:val="cs-CZ"/>
        </w:rPr>
        <w:t>ýměnu</w:t>
      </w:r>
      <w:proofErr w:type="spellEnd"/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kotle budou moci využít starobní důchodci, příjemci invalidního důchodu 3. stupně a domácnosti pobírající příspěvek na bydlení nebo přídavek na dítě. </w:t>
      </w:r>
    </w:p>
    <w:p w14:paraId="05699EF5" w14:textId="77777777" w:rsidR="00DC7BA1" w:rsidRPr="00AB03FD" w:rsidRDefault="00DC7BA1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3AFF8BD8" w14:textId="77777777" w:rsidR="00637D4A" w:rsidRPr="00AB03FD" w:rsidRDefault="00637D4A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37153FA4" w14:textId="77777777" w:rsidR="00AB03FD" w:rsidRDefault="00AB03FD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766E0688" w14:textId="77777777" w:rsidR="00AB03FD" w:rsidRDefault="00AB03FD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624D531F" w14:textId="453752BD" w:rsidR="00DC7BA1" w:rsidRPr="00AB03FD" w:rsidRDefault="00DC7BA1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Maximální výše podpory v programu NZÚ </w:t>
      </w:r>
      <w:proofErr w:type="spellStart"/>
      <w:r w:rsidRPr="00AB03FD">
        <w:rPr>
          <w:rFonts w:ascii="Arial" w:hAnsi="Arial" w:cs="Arial"/>
          <w:bCs/>
          <w:sz w:val="19"/>
          <w:szCs w:val="19"/>
          <w:lang w:val="cs-CZ"/>
        </w:rPr>
        <w:t>Light</w:t>
      </w:r>
      <w:proofErr w:type="spellEnd"/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je stanovena fixní jednotkovou výší podpory na vybraný instalovaný zdroj tepla pro vytápění, nebo na vytápění a ohřev vody. Pokud starý zdroj nahradíte kotlem na biomasu včetně akumulační nádrže nebo kotlem na biomasu se samočinnou dodávkou paliva, můžete zažádat až o 110 000 Kč. Na výměnu za kamna (sálav</w:t>
      </w:r>
      <w:r w:rsidR="00637D4A" w:rsidRPr="00AB03FD">
        <w:rPr>
          <w:rFonts w:ascii="Arial" w:hAnsi="Arial" w:cs="Arial"/>
          <w:bCs/>
          <w:sz w:val="19"/>
          <w:szCs w:val="19"/>
          <w:lang w:val="cs-CZ"/>
        </w:rPr>
        <w:t>á</w:t>
      </w:r>
      <w:r w:rsidRPr="00AB03FD">
        <w:rPr>
          <w:rFonts w:ascii="Arial" w:hAnsi="Arial" w:cs="Arial"/>
          <w:bCs/>
          <w:sz w:val="19"/>
          <w:szCs w:val="19"/>
          <w:lang w:val="cs-CZ"/>
        </w:rPr>
        <w:t>, teplovzdušn</w:t>
      </w:r>
      <w:r w:rsidR="00637D4A" w:rsidRPr="00AB03FD">
        <w:rPr>
          <w:rFonts w:ascii="Arial" w:hAnsi="Arial" w:cs="Arial"/>
          <w:bCs/>
          <w:sz w:val="19"/>
          <w:szCs w:val="19"/>
          <w:lang w:val="cs-CZ"/>
        </w:rPr>
        <w:t>á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nebo s teplovodním výměníkem), je maximální dotace 50 000 Kč. V případě výměny nevyhovujícího kotle za tepelné čerpadlo dostanete až 130 000 Kč, pokud tepelné čerpadlo použijete pouze pro vytápění. V případě, že tepelné čerpadlo bude</w:t>
      </w:r>
      <w:r w:rsidR="00E61F73" w:rsidRPr="00AB03FD">
        <w:rPr>
          <w:rFonts w:ascii="Arial" w:hAnsi="Arial" w:cs="Arial"/>
          <w:bCs/>
          <w:sz w:val="19"/>
          <w:szCs w:val="19"/>
          <w:lang w:val="cs-CZ"/>
        </w:rPr>
        <w:t xml:space="preserve"> 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zajišťovat i ohřev vody, dosáhnete na dotaci až 150 000 </w:t>
      </w:r>
      <w:r w:rsidR="00921DD4" w:rsidRPr="00AB03FD">
        <w:rPr>
          <w:rFonts w:ascii="Arial" w:hAnsi="Arial" w:cs="Arial"/>
          <w:bCs/>
          <w:sz w:val="19"/>
          <w:szCs w:val="19"/>
          <w:lang w:val="cs-CZ"/>
        </w:rPr>
        <w:t>Kč</w:t>
      </w:r>
      <w:r w:rsidRPr="00AB03FD">
        <w:rPr>
          <w:rFonts w:ascii="Arial" w:hAnsi="Arial" w:cs="Arial"/>
          <w:bCs/>
          <w:sz w:val="19"/>
          <w:szCs w:val="19"/>
          <w:lang w:val="cs-CZ"/>
        </w:rPr>
        <w:t>.</w:t>
      </w:r>
    </w:p>
    <w:p w14:paraId="746E2B2D" w14:textId="77777777" w:rsidR="006D16BD" w:rsidRPr="00AB03FD" w:rsidRDefault="006D16BD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33BB27AA" w14:textId="6D19F681" w:rsidR="006D16BD" w:rsidRPr="00AB03FD" w:rsidRDefault="006D16BD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Více o </w:t>
      </w:r>
      <w:r w:rsidR="009D24AC" w:rsidRPr="00AB03FD">
        <w:rPr>
          <w:rFonts w:ascii="Arial" w:hAnsi="Arial" w:cs="Arial"/>
          <w:bCs/>
          <w:sz w:val="19"/>
          <w:szCs w:val="19"/>
          <w:lang w:val="cs-CZ"/>
        </w:rPr>
        <w:t>výhodách tepelných čerpadel</w:t>
      </w:r>
      <w:r w:rsidR="009D24AC">
        <w:rPr>
          <w:rFonts w:ascii="Arial" w:hAnsi="Arial" w:cs="Arial"/>
          <w:bCs/>
          <w:sz w:val="19"/>
          <w:szCs w:val="19"/>
          <w:lang w:val="cs-CZ"/>
        </w:rPr>
        <w:t xml:space="preserve">, 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dotacích </w:t>
      </w:r>
      <w:r w:rsidR="009D24AC">
        <w:rPr>
          <w:rFonts w:ascii="Arial" w:hAnsi="Arial" w:cs="Arial"/>
          <w:bCs/>
          <w:sz w:val="19"/>
          <w:szCs w:val="19"/>
          <w:lang w:val="cs-CZ"/>
        </w:rPr>
        <w:t xml:space="preserve">i možnosti jejich bezplatného vyřízení při nákupu čerpadla 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naleznete </w:t>
      </w:r>
      <w:hyperlink r:id="rId12" w:history="1">
        <w:r w:rsidRPr="00AB03FD">
          <w:rPr>
            <w:rStyle w:val="Hyperlink"/>
            <w:rFonts w:ascii="Arial" w:hAnsi="Arial" w:cs="Arial"/>
            <w:bCs/>
            <w:sz w:val="19"/>
            <w:szCs w:val="19"/>
            <w:lang w:val="cs-CZ"/>
          </w:rPr>
          <w:t>ZD</w:t>
        </w:r>
        <w:r w:rsidRPr="00AB03FD">
          <w:rPr>
            <w:rStyle w:val="Hyperlink"/>
            <w:rFonts w:ascii="Arial" w:hAnsi="Arial" w:cs="Arial"/>
            <w:bCs/>
            <w:sz w:val="19"/>
            <w:szCs w:val="19"/>
            <w:lang w:val="cs-CZ"/>
          </w:rPr>
          <w:t>E</w:t>
        </w:r>
      </w:hyperlink>
      <w:r w:rsidRPr="00AB03FD">
        <w:rPr>
          <w:rFonts w:ascii="Arial" w:hAnsi="Arial" w:cs="Arial"/>
          <w:bCs/>
          <w:sz w:val="19"/>
          <w:szCs w:val="19"/>
          <w:lang w:val="cs-CZ"/>
        </w:rPr>
        <w:t>.</w:t>
      </w:r>
    </w:p>
    <w:p w14:paraId="1FADA4E2" w14:textId="77777777" w:rsidR="00921DD4" w:rsidRPr="00AB03FD" w:rsidRDefault="00921DD4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3FFA4ECD" w14:textId="7CD5D15D" w:rsidR="00DC7BA1" w:rsidRDefault="002C133A" w:rsidP="00DC7BA1">
      <w:pPr>
        <w:spacing w:line="360" w:lineRule="auto"/>
        <w:rPr>
          <w:rFonts w:ascii="Arial" w:hAnsi="Arial" w:cs="Arial"/>
          <w:b/>
          <w:sz w:val="19"/>
          <w:szCs w:val="19"/>
          <w:lang w:val="cs-CZ"/>
        </w:rPr>
      </w:pPr>
      <w:r w:rsidRPr="00AB03FD">
        <w:rPr>
          <w:rFonts w:ascii="Arial" w:hAnsi="Arial" w:cs="Arial"/>
          <w:b/>
          <w:sz w:val="19"/>
          <w:szCs w:val="19"/>
          <w:lang w:val="cs-CZ"/>
        </w:rPr>
        <w:t>Pět</w:t>
      </w:r>
      <w:r w:rsidR="00921DD4" w:rsidRPr="00AB03FD">
        <w:rPr>
          <w:rFonts w:ascii="Arial" w:hAnsi="Arial" w:cs="Arial"/>
          <w:bCs/>
          <w:sz w:val="19"/>
          <w:szCs w:val="19"/>
          <w:lang w:val="cs-CZ"/>
        </w:rPr>
        <w:t xml:space="preserve"> </w:t>
      </w:r>
      <w:r w:rsidR="00DC7BA1" w:rsidRPr="00AB03FD">
        <w:rPr>
          <w:rFonts w:ascii="Arial" w:hAnsi="Arial" w:cs="Arial"/>
          <w:b/>
          <w:sz w:val="19"/>
          <w:szCs w:val="19"/>
          <w:lang w:val="cs-CZ"/>
        </w:rPr>
        <w:t>důvodů, proč vsadit na tepelné čerpadlo vzduch</w:t>
      </w:r>
      <w:r w:rsidR="00551989" w:rsidRPr="00AB03FD">
        <w:rPr>
          <w:rFonts w:ascii="Arial" w:hAnsi="Arial" w:cs="Arial"/>
          <w:b/>
          <w:sz w:val="19"/>
          <w:szCs w:val="19"/>
          <w:lang w:val="cs-CZ"/>
        </w:rPr>
        <w:t>-</w:t>
      </w:r>
      <w:r w:rsidR="00DC7BA1" w:rsidRPr="00AB03FD">
        <w:rPr>
          <w:rFonts w:ascii="Arial" w:hAnsi="Arial" w:cs="Arial"/>
          <w:b/>
          <w:sz w:val="19"/>
          <w:szCs w:val="19"/>
          <w:lang w:val="cs-CZ"/>
        </w:rPr>
        <w:t>voda</w:t>
      </w:r>
    </w:p>
    <w:p w14:paraId="589DF68B" w14:textId="77777777" w:rsidR="00AB03FD" w:rsidRPr="00AB03FD" w:rsidRDefault="00AB03FD" w:rsidP="00DC7BA1">
      <w:pPr>
        <w:spacing w:line="360" w:lineRule="auto"/>
        <w:rPr>
          <w:rFonts w:ascii="Arial" w:hAnsi="Arial" w:cs="Arial"/>
          <w:b/>
          <w:sz w:val="19"/>
          <w:szCs w:val="19"/>
          <w:lang w:val="cs-CZ"/>
        </w:rPr>
      </w:pPr>
    </w:p>
    <w:p w14:paraId="00ADE35F" w14:textId="2B769BD5" w:rsidR="00DC7BA1" w:rsidRPr="00AB03FD" w:rsidRDefault="00DC7BA1" w:rsidP="00DC7BA1">
      <w:pPr>
        <w:spacing w:line="360" w:lineRule="auto"/>
        <w:rPr>
          <w:rFonts w:ascii="Arial" w:hAnsi="Arial" w:cs="Arial"/>
          <w:b/>
          <w:sz w:val="19"/>
          <w:szCs w:val="19"/>
          <w:lang w:val="cs-CZ"/>
        </w:rPr>
      </w:pPr>
      <w:r w:rsidRPr="00AB03FD">
        <w:rPr>
          <w:rFonts w:ascii="Arial" w:hAnsi="Arial" w:cs="Arial"/>
          <w:b/>
          <w:sz w:val="19"/>
          <w:szCs w:val="19"/>
          <w:lang w:val="cs-CZ"/>
        </w:rPr>
        <w:t>1.</w:t>
      </w:r>
      <w:r w:rsidRPr="00AB03FD">
        <w:rPr>
          <w:rFonts w:ascii="Arial" w:hAnsi="Arial" w:cs="Arial"/>
          <w:b/>
          <w:sz w:val="19"/>
          <w:szCs w:val="19"/>
          <w:lang w:val="cs-CZ"/>
        </w:rPr>
        <w:tab/>
        <w:t>Top účinnost</w:t>
      </w:r>
    </w:p>
    <w:p w14:paraId="29F85F46" w14:textId="61F54D0A" w:rsidR="00DC7BA1" w:rsidRPr="00AB03FD" w:rsidRDefault="00DC7BA1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  <w:r w:rsidRPr="00AB03FD">
        <w:rPr>
          <w:rFonts w:ascii="Arial" w:hAnsi="Arial" w:cs="Arial"/>
          <w:bCs/>
          <w:sz w:val="19"/>
          <w:szCs w:val="19"/>
          <w:lang w:val="cs-CZ"/>
        </w:rPr>
        <w:t>Tepelná čerpadla jsou nejúčinnějším zdrojem vytápění na trhu. Například modely Panasonic T-CAP mají maximální koeficient topného faktoru (COP) 4,85, což znamená, že při 1 kW vyprodukují až 4,85 kW energie. Pro srovnání – olejový kotel je 5,7x méně účinný a plynový kotel 5,3x méně účinný než čerpadlo.</w:t>
      </w:r>
    </w:p>
    <w:p w14:paraId="2006C38C" w14:textId="77777777" w:rsidR="006D16BD" w:rsidRPr="00AB03FD" w:rsidRDefault="006D16BD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027EF69D" w14:textId="675435AD" w:rsidR="006D16BD" w:rsidRPr="00AB03FD" w:rsidRDefault="00DC7BA1" w:rsidP="006D16BD">
      <w:pPr>
        <w:spacing w:line="360" w:lineRule="auto"/>
        <w:rPr>
          <w:rFonts w:ascii="Arial" w:hAnsi="Arial" w:cs="Arial"/>
          <w:b/>
          <w:sz w:val="19"/>
          <w:szCs w:val="19"/>
          <w:lang w:val="cs-CZ"/>
        </w:rPr>
      </w:pPr>
      <w:r w:rsidRPr="00AB03FD">
        <w:rPr>
          <w:rFonts w:ascii="Arial" w:hAnsi="Arial" w:cs="Arial"/>
          <w:b/>
          <w:sz w:val="19"/>
          <w:szCs w:val="19"/>
          <w:lang w:val="cs-CZ"/>
        </w:rPr>
        <w:t>2.</w:t>
      </w:r>
      <w:r w:rsidRPr="00AB03FD">
        <w:rPr>
          <w:rFonts w:ascii="Arial" w:hAnsi="Arial" w:cs="Arial"/>
          <w:b/>
          <w:sz w:val="19"/>
          <w:szCs w:val="19"/>
          <w:lang w:val="cs-CZ"/>
        </w:rPr>
        <w:tab/>
      </w:r>
      <w:r w:rsidR="006D16BD" w:rsidRPr="00AB03FD">
        <w:rPr>
          <w:rFonts w:ascii="Arial" w:hAnsi="Arial" w:cs="Arial"/>
          <w:b/>
          <w:bCs/>
          <w:sz w:val="19"/>
          <w:szCs w:val="19"/>
          <w:lang w:val="cs-CZ"/>
        </w:rPr>
        <w:t>Nominální výkon bez bivalentního zdroje až do venkovních –15 °C</w:t>
      </w:r>
    </w:p>
    <w:p w14:paraId="03475912" w14:textId="318FAF13" w:rsidR="006D16BD" w:rsidRPr="00AB03FD" w:rsidRDefault="00DC7BA1" w:rsidP="006D16BD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Modely Panasonic </w:t>
      </w:r>
      <w:proofErr w:type="spellStart"/>
      <w:r w:rsidRPr="00AB03FD">
        <w:rPr>
          <w:rFonts w:ascii="Arial" w:hAnsi="Arial" w:cs="Arial"/>
          <w:bCs/>
          <w:sz w:val="19"/>
          <w:szCs w:val="19"/>
          <w:lang w:val="cs-CZ"/>
        </w:rPr>
        <w:t>Aquarea</w:t>
      </w:r>
      <w:proofErr w:type="spellEnd"/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umějí dosáhnout vynikajících výkonů i v nepříznivých podmínkách.</w:t>
      </w:r>
      <w:r w:rsidR="006D16BD" w:rsidRPr="00AB03FD">
        <w:rPr>
          <w:rFonts w:ascii="Arial" w:hAnsi="Arial" w:cs="Arial"/>
          <w:bCs/>
          <w:sz w:val="19"/>
          <w:szCs w:val="19"/>
          <w:lang w:val="cs-CZ"/>
        </w:rPr>
        <w:t xml:space="preserve"> </w:t>
      </w:r>
      <w:r w:rsidR="002737A4" w:rsidRPr="00AB03FD">
        <w:rPr>
          <w:rFonts w:ascii="Arial" w:hAnsi="Arial" w:cs="Arial"/>
          <w:bCs/>
          <w:sz w:val="19"/>
          <w:szCs w:val="19"/>
          <w:lang w:val="cs-CZ"/>
        </w:rPr>
        <w:t xml:space="preserve">Čerpadla </w:t>
      </w:r>
      <w:proofErr w:type="spellStart"/>
      <w:r w:rsidR="006D16BD" w:rsidRPr="00AB03FD">
        <w:rPr>
          <w:rFonts w:ascii="Arial" w:hAnsi="Arial" w:cs="Arial"/>
          <w:bCs/>
          <w:sz w:val="19"/>
          <w:szCs w:val="19"/>
          <w:lang w:val="cs-CZ"/>
        </w:rPr>
        <w:t>Aquarea</w:t>
      </w:r>
      <w:proofErr w:type="spellEnd"/>
      <w:r w:rsidR="006D16BD" w:rsidRPr="00AB03FD">
        <w:rPr>
          <w:rFonts w:ascii="Arial" w:hAnsi="Arial" w:cs="Arial"/>
          <w:bCs/>
          <w:sz w:val="19"/>
          <w:szCs w:val="19"/>
          <w:lang w:val="cs-CZ"/>
        </w:rPr>
        <w:t xml:space="preserve"> T-CAP lze provozovat i při venkovních teplotách až −28 °C a garantují vysokou účinnost </w:t>
      </w:r>
      <w:r w:rsidR="00551989" w:rsidRPr="00AB03FD">
        <w:rPr>
          <w:rFonts w:ascii="Arial" w:hAnsi="Arial" w:cs="Arial"/>
          <w:bCs/>
          <w:sz w:val="19"/>
          <w:szCs w:val="19"/>
          <w:lang w:val="cs-CZ"/>
        </w:rPr>
        <w:t xml:space="preserve">bez </w:t>
      </w:r>
      <w:r w:rsidR="006D16BD" w:rsidRPr="00AB03FD">
        <w:rPr>
          <w:rFonts w:ascii="Arial" w:hAnsi="Arial" w:cs="Arial"/>
          <w:bCs/>
          <w:sz w:val="19"/>
          <w:szCs w:val="19"/>
          <w:lang w:val="cs-CZ"/>
        </w:rPr>
        <w:t>poklesu nominálního výkonu i nutnosti použití záložního zdroje až do venkovní teploty −15 °C.</w:t>
      </w:r>
    </w:p>
    <w:p w14:paraId="1B7AABD9" w14:textId="77777777" w:rsidR="006D16BD" w:rsidRPr="00AB03FD" w:rsidRDefault="006D16BD" w:rsidP="006D16BD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42E5100B" w14:textId="77777777" w:rsidR="00DC7BA1" w:rsidRPr="00AB03FD" w:rsidRDefault="00DC7BA1" w:rsidP="00DC7BA1">
      <w:pPr>
        <w:spacing w:line="360" w:lineRule="auto"/>
        <w:rPr>
          <w:rFonts w:ascii="Arial" w:hAnsi="Arial" w:cs="Arial"/>
          <w:b/>
          <w:sz w:val="19"/>
          <w:szCs w:val="19"/>
          <w:lang w:val="cs-CZ"/>
        </w:rPr>
      </w:pPr>
      <w:r w:rsidRPr="00AB03FD">
        <w:rPr>
          <w:rFonts w:ascii="Arial" w:hAnsi="Arial" w:cs="Arial"/>
          <w:b/>
          <w:sz w:val="19"/>
          <w:szCs w:val="19"/>
          <w:lang w:val="cs-CZ"/>
        </w:rPr>
        <w:t>3.</w:t>
      </w:r>
      <w:r w:rsidRPr="00AB03FD">
        <w:rPr>
          <w:rFonts w:ascii="Arial" w:hAnsi="Arial" w:cs="Arial"/>
          <w:b/>
          <w:sz w:val="19"/>
          <w:szCs w:val="19"/>
          <w:lang w:val="cs-CZ"/>
        </w:rPr>
        <w:tab/>
        <w:t>Nízká spotřeba i provozní náklady</w:t>
      </w:r>
    </w:p>
    <w:p w14:paraId="68A55215" w14:textId="7D982331" w:rsidR="00DC7BA1" w:rsidRPr="00AB03FD" w:rsidRDefault="00DC7BA1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Například kombinace vnitřní a vnější jednotky Panasonic </w:t>
      </w:r>
      <w:proofErr w:type="spellStart"/>
      <w:r w:rsidRPr="00AB03FD">
        <w:rPr>
          <w:rFonts w:ascii="Arial" w:hAnsi="Arial" w:cs="Arial"/>
          <w:bCs/>
          <w:sz w:val="19"/>
          <w:szCs w:val="19"/>
          <w:lang w:val="cs-CZ"/>
        </w:rPr>
        <w:t>Aquarea</w:t>
      </w:r>
      <w:proofErr w:type="spellEnd"/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K splňuje energetickou třídu A+++ a při výkonu 5 kW nabízí topný faktor (COP) až 5,1. Za rok pro svůj provoz v mírném klimatickém pásmu a při nízkých teplotách spotřebuje 1 631 kWh elektřiny. To by při celkové ceně za 1 kWh ve výši například 6 Kč znamenalo </w:t>
      </w:r>
      <w:r w:rsidR="00637D4A" w:rsidRPr="00AB03FD">
        <w:rPr>
          <w:rFonts w:ascii="Arial" w:hAnsi="Arial" w:cs="Arial"/>
          <w:bCs/>
          <w:sz w:val="19"/>
          <w:szCs w:val="19"/>
          <w:lang w:val="cs-CZ"/>
        </w:rPr>
        <w:t xml:space="preserve">roční </w:t>
      </w:r>
      <w:r w:rsidRPr="00AB03FD">
        <w:rPr>
          <w:rFonts w:ascii="Arial" w:hAnsi="Arial" w:cs="Arial"/>
          <w:bCs/>
          <w:sz w:val="19"/>
          <w:szCs w:val="19"/>
          <w:lang w:val="cs-CZ"/>
        </w:rPr>
        <w:t>provozní náklady</w:t>
      </w:r>
      <w:r w:rsidR="00637D4A" w:rsidRPr="00AB03FD">
        <w:rPr>
          <w:rFonts w:ascii="Arial" w:hAnsi="Arial" w:cs="Arial"/>
          <w:bCs/>
          <w:sz w:val="19"/>
          <w:szCs w:val="19"/>
          <w:lang w:val="cs-CZ"/>
        </w:rPr>
        <w:t xml:space="preserve"> nižší než </w:t>
      </w:r>
      <w:r w:rsidRPr="00AB03FD">
        <w:rPr>
          <w:rFonts w:ascii="Arial" w:hAnsi="Arial" w:cs="Arial"/>
          <w:bCs/>
          <w:sz w:val="19"/>
          <w:szCs w:val="19"/>
          <w:lang w:val="cs-CZ"/>
        </w:rPr>
        <w:t>10 000 korun.</w:t>
      </w:r>
    </w:p>
    <w:p w14:paraId="6DBDB152" w14:textId="77777777" w:rsidR="006D16BD" w:rsidRPr="00AB03FD" w:rsidRDefault="006D16BD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367BA29E" w14:textId="77777777" w:rsidR="00DC7BA1" w:rsidRPr="00AB03FD" w:rsidRDefault="00DC7BA1" w:rsidP="00DC7BA1">
      <w:pPr>
        <w:spacing w:line="360" w:lineRule="auto"/>
        <w:rPr>
          <w:rFonts w:ascii="Arial" w:hAnsi="Arial" w:cs="Arial"/>
          <w:b/>
          <w:sz w:val="19"/>
          <w:szCs w:val="19"/>
          <w:lang w:val="cs-CZ"/>
        </w:rPr>
      </w:pPr>
      <w:r w:rsidRPr="00AB03FD">
        <w:rPr>
          <w:rFonts w:ascii="Arial" w:hAnsi="Arial" w:cs="Arial"/>
          <w:b/>
          <w:sz w:val="19"/>
          <w:szCs w:val="19"/>
          <w:lang w:val="cs-CZ"/>
        </w:rPr>
        <w:t>4.</w:t>
      </w:r>
      <w:r w:rsidRPr="00AB03FD">
        <w:rPr>
          <w:rFonts w:ascii="Arial" w:hAnsi="Arial" w:cs="Arial"/>
          <w:b/>
          <w:sz w:val="19"/>
          <w:szCs w:val="19"/>
          <w:lang w:val="cs-CZ"/>
        </w:rPr>
        <w:tab/>
        <w:t xml:space="preserve">Státní dotace až 150 000 Kč </w:t>
      </w:r>
    </w:p>
    <w:p w14:paraId="273CECFA" w14:textId="4FCE63EA" w:rsidR="00921DD4" w:rsidRPr="00AB03FD" w:rsidRDefault="00DC7BA1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  <w:r w:rsidRPr="00AB03FD">
        <w:rPr>
          <w:rFonts w:ascii="Arial" w:hAnsi="Arial" w:cs="Arial"/>
          <w:bCs/>
          <w:sz w:val="19"/>
          <w:szCs w:val="19"/>
          <w:lang w:val="cs-CZ"/>
        </w:rPr>
        <w:t>V případě výměny nevyhovujícího kotle za tepelné čerpadlo typu vzduch</w:t>
      </w:r>
      <w:r w:rsidR="00551989" w:rsidRPr="00AB03FD">
        <w:rPr>
          <w:rFonts w:ascii="Arial" w:hAnsi="Arial" w:cs="Arial"/>
          <w:bCs/>
          <w:sz w:val="19"/>
          <w:szCs w:val="19"/>
          <w:lang w:val="cs-CZ"/>
        </w:rPr>
        <w:t>-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voda s ohřevem vody můžete získat na dotacích až 150 000 Kč z programu NZÚ </w:t>
      </w:r>
      <w:proofErr w:type="spellStart"/>
      <w:r w:rsidRPr="00AB03FD">
        <w:rPr>
          <w:rFonts w:ascii="Arial" w:hAnsi="Arial" w:cs="Arial"/>
          <w:bCs/>
          <w:sz w:val="19"/>
          <w:szCs w:val="19"/>
          <w:lang w:val="cs-CZ"/>
        </w:rPr>
        <w:t>Light</w:t>
      </w:r>
      <w:proofErr w:type="spellEnd"/>
      <w:r w:rsidR="00637D4A" w:rsidRPr="00AB03FD">
        <w:rPr>
          <w:rFonts w:ascii="Arial" w:hAnsi="Arial" w:cs="Arial"/>
          <w:bCs/>
          <w:sz w:val="19"/>
          <w:szCs w:val="19"/>
          <w:lang w:val="cs-CZ"/>
        </w:rPr>
        <w:t xml:space="preserve">. Pokud nemůžete využít NZÚ </w:t>
      </w:r>
      <w:proofErr w:type="spellStart"/>
      <w:r w:rsidR="00637D4A" w:rsidRPr="00AB03FD">
        <w:rPr>
          <w:rFonts w:ascii="Arial" w:hAnsi="Arial" w:cs="Arial"/>
          <w:bCs/>
          <w:sz w:val="19"/>
          <w:szCs w:val="19"/>
          <w:lang w:val="cs-CZ"/>
        </w:rPr>
        <w:t>Light</w:t>
      </w:r>
      <w:proofErr w:type="spellEnd"/>
      <w:r w:rsidR="00637D4A" w:rsidRPr="00AB03FD">
        <w:rPr>
          <w:rFonts w:ascii="Arial" w:hAnsi="Arial" w:cs="Arial"/>
          <w:bCs/>
          <w:sz w:val="19"/>
          <w:szCs w:val="19"/>
          <w:lang w:val="cs-CZ"/>
        </w:rPr>
        <w:t xml:space="preserve">, z NZÚ 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na </w:t>
      </w:r>
      <w:r w:rsidR="00E61F73" w:rsidRPr="00AB03FD">
        <w:rPr>
          <w:rFonts w:ascii="Arial" w:hAnsi="Arial" w:cs="Arial"/>
          <w:bCs/>
          <w:sz w:val="19"/>
          <w:szCs w:val="19"/>
          <w:lang w:val="cs-CZ"/>
        </w:rPr>
        <w:t xml:space="preserve">pořízení </w:t>
      </w:r>
      <w:r w:rsidRPr="00AB03FD">
        <w:rPr>
          <w:rFonts w:ascii="Arial" w:hAnsi="Arial" w:cs="Arial"/>
          <w:bCs/>
          <w:sz w:val="19"/>
          <w:szCs w:val="19"/>
          <w:lang w:val="cs-CZ"/>
        </w:rPr>
        <w:t>tepelné</w:t>
      </w:r>
      <w:r w:rsidR="00E61F73" w:rsidRPr="00AB03FD">
        <w:rPr>
          <w:rFonts w:ascii="Arial" w:hAnsi="Arial" w:cs="Arial"/>
          <w:bCs/>
          <w:sz w:val="19"/>
          <w:szCs w:val="19"/>
          <w:lang w:val="cs-CZ"/>
        </w:rPr>
        <w:t>ho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čerpadl</w:t>
      </w:r>
      <w:r w:rsidR="00E61F73" w:rsidRPr="00AB03FD">
        <w:rPr>
          <w:rFonts w:ascii="Arial" w:hAnsi="Arial" w:cs="Arial"/>
          <w:bCs/>
          <w:sz w:val="19"/>
          <w:szCs w:val="19"/>
          <w:lang w:val="cs-CZ"/>
        </w:rPr>
        <w:t>a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</w:t>
      </w:r>
      <w:proofErr w:type="spellStart"/>
      <w:r w:rsidRPr="00AB03FD">
        <w:rPr>
          <w:rFonts w:ascii="Arial" w:hAnsi="Arial" w:cs="Arial"/>
          <w:bCs/>
          <w:sz w:val="19"/>
          <w:szCs w:val="19"/>
          <w:lang w:val="cs-CZ"/>
        </w:rPr>
        <w:t>vzuch</w:t>
      </w:r>
      <w:proofErr w:type="spellEnd"/>
      <w:r w:rsidR="00551989" w:rsidRPr="00AB03FD">
        <w:rPr>
          <w:rFonts w:ascii="Arial" w:hAnsi="Arial" w:cs="Arial"/>
          <w:bCs/>
          <w:sz w:val="19"/>
          <w:szCs w:val="19"/>
          <w:lang w:val="cs-CZ"/>
        </w:rPr>
        <w:t>-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voda s ohřevem vody </w:t>
      </w:r>
      <w:r w:rsidR="00637D4A" w:rsidRPr="00AB03FD">
        <w:rPr>
          <w:rFonts w:ascii="Arial" w:hAnsi="Arial" w:cs="Arial"/>
          <w:bCs/>
          <w:sz w:val="19"/>
          <w:szCs w:val="19"/>
          <w:lang w:val="cs-CZ"/>
        </w:rPr>
        <w:t>získáte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až 90 000 Kč</w:t>
      </w:r>
      <w:r w:rsidR="00E61F73" w:rsidRPr="00AB03FD">
        <w:rPr>
          <w:rFonts w:ascii="Arial" w:hAnsi="Arial" w:cs="Arial"/>
          <w:bCs/>
          <w:sz w:val="19"/>
          <w:szCs w:val="19"/>
          <w:lang w:val="cs-CZ"/>
        </w:rPr>
        <w:t>.</w:t>
      </w:r>
    </w:p>
    <w:p w14:paraId="7579E69C" w14:textId="77777777" w:rsidR="006D16BD" w:rsidRPr="00AB03FD" w:rsidRDefault="006D16BD" w:rsidP="00DC7BA1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3A77DD51" w14:textId="77777777" w:rsidR="00DC7BA1" w:rsidRPr="00AB03FD" w:rsidRDefault="00DC7BA1" w:rsidP="00DC7BA1">
      <w:pPr>
        <w:spacing w:line="360" w:lineRule="auto"/>
        <w:rPr>
          <w:rFonts w:ascii="Arial" w:hAnsi="Arial" w:cs="Arial"/>
          <w:b/>
          <w:sz w:val="19"/>
          <w:szCs w:val="19"/>
          <w:lang w:val="cs-CZ"/>
        </w:rPr>
      </w:pPr>
      <w:r w:rsidRPr="00AB03FD">
        <w:rPr>
          <w:rFonts w:ascii="Arial" w:hAnsi="Arial" w:cs="Arial"/>
          <w:b/>
          <w:sz w:val="19"/>
          <w:szCs w:val="19"/>
          <w:lang w:val="cs-CZ"/>
        </w:rPr>
        <w:t>5.</w:t>
      </w:r>
      <w:r w:rsidRPr="00AB03FD">
        <w:rPr>
          <w:rFonts w:ascii="Arial" w:hAnsi="Arial" w:cs="Arial"/>
          <w:b/>
          <w:sz w:val="19"/>
          <w:szCs w:val="19"/>
          <w:lang w:val="cs-CZ"/>
        </w:rPr>
        <w:tab/>
        <w:t>Smart ovládání</w:t>
      </w:r>
    </w:p>
    <w:p w14:paraId="5AA97DB7" w14:textId="3348AD86" w:rsidR="006D16BD" w:rsidRDefault="00DC7BA1" w:rsidP="006D16BD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Ovládání tepelného čerpadla, jeho uživatelské nastavení a přehled výdajů </w:t>
      </w:r>
      <w:r w:rsidR="00E61F73" w:rsidRPr="00AB03FD">
        <w:rPr>
          <w:rFonts w:ascii="Arial" w:hAnsi="Arial" w:cs="Arial"/>
          <w:bCs/>
          <w:sz w:val="19"/>
          <w:szCs w:val="19"/>
          <w:lang w:val="cs-CZ"/>
        </w:rPr>
        <w:t>jsou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díky moderním </w:t>
      </w:r>
      <w:proofErr w:type="spellStart"/>
      <w:r w:rsidRPr="00AB03FD">
        <w:rPr>
          <w:rFonts w:ascii="Arial" w:hAnsi="Arial" w:cs="Arial"/>
          <w:bCs/>
          <w:sz w:val="19"/>
          <w:szCs w:val="19"/>
          <w:lang w:val="cs-CZ"/>
        </w:rPr>
        <w:t>smart</w:t>
      </w:r>
      <w:proofErr w:type="spellEnd"/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technologiím jednoduše přístupné a intuitivní. Například Panasonic </w:t>
      </w:r>
      <w:proofErr w:type="spellStart"/>
      <w:r w:rsidRPr="00AB03FD">
        <w:rPr>
          <w:rFonts w:ascii="Arial" w:hAnsi="Arial" w:cs="Arial"/>
          <w:bCs/>
          <w:sz w:val="19"/>
          <w:szCs w:val="19"/>
          <w:lang w:val="cs-CZ"/>
        </w:rPr>
        <w:t>Comfort</w:t>
      </w:r>
      <w:proofErr w:type="spellEnd"/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Cloud je aplikace, pomocí které lze snadno ovládat nastavení vytápění a chlazení i monitorovat spotřebu a výdaje přes chytrý telefon či tablet. AC </w:t>
      </w:r>
      <w:proofErr w:type="spellStart"/>
      <w:r w:rsidRPr="00AB03FD">
        <w:rPr>
          <w:rFonts w:ascii="Arial" w:hAnsi="Arial" w:cs="Arial"/>
          <w:bCs/>
          <w:sz w:val="19"/>
          <w:szCs w:val="19"/>
          <w:lang w:val="cs-CZ"/>
        </w:rPr>
        <w:t>Service</w:t>
      </w:r>
      <w:proofErr w:type="spellEnd"/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Cloud zase umožní instalačním firmám vzdálenou diagnostiku, správu i prediktivní údržbu systém</w:t>
      </w:r>
      <w:r w:rsidR="00FF5BE3" w:rsidRPr="00AB03FD">
        <w:rPr>
          <w:rFonts w:ascii="Arial" w:hAnsi="Arial" w:cs="Arial"/>
          <w:bCs/>
          <w:sz w:val="19"/>
          <w:szCs w:val="19"/>
          <w:lang w:val="cs-CZ"/>
        </w:rPr>
        <w:t>u</w:t>
      </w:r>
      <w:r w:rsidR="00921DD4" w:rsidRPr="00AB03FD">
        <w:rPr>
          <w:rFonts w:ascii="Arial" w:hAnsi="Arial" w:cs="Arial"/>
          <w:bCs/>
          <w:sz w:val="19"/>
          <w:szCs w:val="19"/>
          <w:lang w:val="cs-CZ"/>
        </w:rPr>
        <w:t>,</w:t>
      </w:r>
      <w:r w:rsidRPr="00AB03FD">
        <w:rPr>
          <w:rFonts w:ascii="Arial" w:hAnsi="Arial" w:cs="Arial"/>
          <w:bCs/>
          <w:sz w:val="19"/>
          <w:szCs w:val="19"/>
          <w:lang w:val="cs-CZ"/>
        </w:rPr>
        <w:t xml:space="preserve"> což</w:t>
      </w:r>
      <w:r w:rsidR="00921DD4" w:rsidRPr="00AB03FD">
        <w:rPr>
          <w:rFonts w:ascii="Arial" w:hAnsi="Arial" w:cs="Arial"/>
          <w:bCs/>
          <w:sz w:val="19"/>
          <w:szCs w:val="19"/>
          <w:lang w:val="cs-CZ"/>
        </w:rPr>
        <w:t xml:space="preserve"> významně prodlužuje </w:t>
      </w:r>
      <w:r w:rsidR="00FF5BE3" w:rsidRPr="00AB03FD">
        <w:rPr>
          <w:rFonts w:ascii="Arial" w:hAnsi="Arial" w:cs="Arial"/>
          <w:bCs/>
          <w:sz w:val="19"/>
          <w:szCs w:val="19"/>
          <w:lang w:val="cs-CZ"/>
        </w:rPr>
        <w:t>jeho</w:t>
      </w:r>
      <w:r w:rsidR="00921DD4" w:rsidRPr="00AB03FD">
        <w:rPr>
          <w:rFonts w:ascii="Arial" w:hAnsi="Arial" w:cs="Arial"/>
          <w:bCs/>
          <w:sz w:val="19"/>
          <w:szCs w:val="19"/>
          <w:lang w:val="cs-CZ"/>
        </w:rPr>
        <w:t xml:space="preserve"> životnost.</w:t>
      </w:r>
    </w:p>
    <w:p w14:paraId="4898D954" w14:textId="77777777" w:rsidR="00AB03FD" w:rsidRDefault="00AB03FD" w:rsidP="006D16BD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788E8CF8" w14:textId="77777777" w:rsidR="00AB03FD" w:rsidRDefault="00AB03FD" w:rsidP="006D16BD">
      <w:pPr>
        <w:spacing w:line="360" w:lineRule="auto"/>
        <w:rPr>
          <w:rFonts w:ascii="Arial" w:hAnsi="Arial" w:cs="Arial"/>
          <w:bCs/>
          <w:sz w:val="19"/>
          <w:szCs w:val="19"/>
          <w:lang w:val="cs-CZ"/>
        </w:rPr>
      </w:pPr>
    </w:p>
    <w:p w14:paraId="54E9D0E1" w14:textId="77777777" w:rsidR="006D16BD" w:rsidRDefault="006D16BD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664E8385" w14:textId="77777777" w:rsidR="002C133A" w:rsidRDefault="002C133A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698B2B97" w14:textId="28FF3356" w:rsidR="00047F87" w:rsidRPr="00892400" w:rsidRDefault="00611E67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 w:rsidRPr="00892400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 xml:space="preserve">O </w:t>
      </w:r>
      <w:r w:rsidR="000B4CED" w:rsidRPr="00892400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skupině Panasonic</w:t>
      </w:r>
    </w:p>
    <w:p w14:paraId="1B142C6E" w14:textId="77777777" w:rsidR="003E050B" w:rsidRPr="00892400" w:rsidRDefault="000B4CED" w:rsidP="000B4CED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 w:rsidRPr="00892400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Holdings Corporation spadá celkem osm firem. Za fiskální rok končící 31. březnem 2024 vykázala tato skupina konsolidované čisté tržby ve výši 54,12 miliardy eur. V České republice se vyrábějí tepelná čerpadla značky Panasonic od roku 2018 a portfolio vyráběných produktů se navyšuje. Skupina Panasonic plánuje ve svém plzeňském závodě navyšovat kapacity a do roku 2030 v ČR vyrábět až 1 000 000 tepelných čerpadel ročně. Více informací o skupině Panasonic naleznete na webu </w:t>
      </w:r>
      <w:hyperlink r:id="rId13" w:history="1">
        <w:r w:rsidRPr="00892400">
          <w:rPr>
            <w:rStyle w:val="Hyperlink"/>
            <w:rFonts w:ascii="Arial" w:eastAsia="SimSun" w:hAnsi="Arial" w:cs="Arial"/>
            <w:bCs/>
            <w:sz w:val="16"/>
            <w:szCs w:val="16"/>
            <w:lang w:val="cs-CZ" w:eastAsia="zh-CN"/>
          </w:rPr>
          <w:t>https://holdings.panasonic/global/</w:t>
        </w:r>
      </w:hyperlink>
      <w:r w:rsidRPr="00892400">
        <w:rPr>
          <w:rFonts w:ascii="Arial" w:eastAsia="SimSun" w:hAnsi="Arial" w:cs="Arial"/>
          <w:bCs/>
          <w:sz w:val="16"/>
          <w:szCs w:val="16"/>
          <w:lang w:val="cs-CZ" w:eastAsia="zh-CN"/>
        </w:rPr>
        <w:t>.</w:t>
      </w:r>
    </w:p>
    <w:sectPr w:rsidR="003E050B" w:rsidRPr="00892400" w:rsidSect="00921DD4">
      <w:headerReference w:type="default" r:id="rId14"/>
      <w:footerReference w:type="default" r:id="rId15"/>
      <w:pgSz w:w="11906" w:h="16838"/>
      <w:pgMar w:top="1701" w:right="1841" w:bottom="567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76CCD" w14:textId="77777777" w:rsidR="00311E3F" w:rsidRDefault="00311E3F">
      <w:r>
        <w:separator/>
      </w:r>
    </w:p>
  </w:endnote>
  <w:endnote w:type="continuationSeparator" w:id="0">
    <w:p w14:paraId="468B083A" w14:textId="77777777" w:rsidR="00311E3F" w:rsidRDefault="0031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E0546" w14:textId="77777777" w:rsidR="00047F87" w:rsidRDefault="00047F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EE226" w14:textId="77777777" w:rsidR="00311E3F" w:rsidRDefault="00311E3F">
      <w:r>
        <w:separator/>
      </w:r>
    </w:p>
  </w:footnote>
  <w:footnote w:type="continuationSeparator" w:id="0">
    <w:p w14:paraId="71D91D33" w14:textId="77777777" w:rsidR="00311E3F" w:rsidRDefault="0031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43A83" w14:textId="77777777" w:rsidR="00047F87" w:rsidRDefault="003E050B" w:rsidP="003E050B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B70724F" wp14:editId="13DE1213">
          <wp:simplePos x="0" y="0"/>
          <wp:positionH relativeFrom="column">
            <wp:posOffset>5040630</wp:posOffset>
          </wp:positionH>
          <wp:positionV relativeFrom="paragraph">
            <wp:posOffset>125730</wp:posOffset>
          </wp:positionV>
          <wp:extent cx="1513205" cy="581660"/>
          <wp:effectExtent l="0" t="0" r="0" b="8890"/>
          <wp:wrapTight wrapText="bothSides">
            <wp:wrapPolygon edited="0">
              <wp:start x="0" y="0"/>
              <wp:lineTo x="0" y="9197"/>
              <wp:lineTo x="10605" y="11319"/>
              <wp:lineTo x="0" y="16978"/>
              <wp:lineTo x="0" y="21223"/>
              <wp:lineTo x="4623" y="21223"/>
              <wp:lineTo x="14140" y="21223"/>
              <wp:lineTo x="21210" y="21223"/>
              <wp:lineTo x="21210" y="16978"/>
              <wp:lineTo x="10605" y="11319"/>
              <wp:lineTo x="21210" y="9197"/>
              <wp:lineTo x="21210" y="1415"/>
              <wp:lineTo x="19307" y="0"/>
              <wp:lineTo x="0" y="0"/>
            </wp:wrapPolygon>
          </wp:wrapTight>
          <wp:docPr id="36171814" name="Picture 1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35698" name="Picture 1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1E67">
      <w:rPr>
        <w:noProof/>
        <w:lang w:val="cs-CZ" w:eastAsia="cs-CZ"/>
      </w:rPr>
      <w:drawing>
        <wp:anchor distT="0" distB="0" distL="0" distR="0" simplePos="0" relativeHeight="3" behindDoc="1" locked="0" layoutInCell="0" allowOverlap="1" wp14:anchorId="4968206B" wp14:editId="3AB08795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110240927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87"/>
    <w:rsid w:val="000214EB"/>
    <w:rsid w:val="000314FC"/>
    <w:rsid w:val="00045BA3"/>
    <w:rsid w:val="00047F87"/>
    <w:rsid w:val="000B4CED"/>
    <w:rsid w:val="000C4FA1"/>
    <w:rsid w:val="000F31C4"/>
    <w:rsid w:val="001202F6"/>
    <w:rsid w:val="00125BDB"/>
    <w:rsid w:val="00156230"/>
    <w:rsid w:val="001B3CDB"/>
    <w:rsid w:val="001C2368"/>
    <w:rsid w:val="001D71E2"/>
    <w:rsid w:val="001E4B4A"/>
    <w:rsid w:val="001E5AA7"/>
    <w:rsid w:val="00215D66"/>
    <w:rsid w:val="0022545D"/>
    <w:rsid w:val="0023077C"/>
    <w:rsid w:val="002707A2"/>
    <w:rsid w:val="002737A4"/>
    <w:rsid w:val="0028694E"/>
    <w:rsid w:val="00287803"/>
    <w:rsid w:val="002A04F8"/>
    <w:rsid w:val="002B6ECA"/>
    <w:rsid w:val="002C133A"/>
    <w:rsid w:val="002C7F2E"/>
    <w:rsid w:val="002E1683"/>
    <w:rsid w:val="00311E3F"/>
    <w:rsid w:val="00324221"/>
    <w:rsid w:val="00325EA3"/>
    <w:rsid w:val="00330336"/>
    <w:rsid w:val="003E050B"/>
    <w:rsid w:val="0044474C"/>
    <w:rsid w:val="0045123E"/>
    <w:rsid w:val="004F29E6"/>
    <w:rsid w:val="004F3768"/>
    <w:rsid w:val="00514501"/>
    <w:rsid w:val="005206C4"/>
    <w:rsid w:val="00542D6E"/>
    <w:rsid w:val="00551989"/>
    <w:rsid w:val="00577646"/>
    <w:rsid w:val="005C35A4"/>
    <w:rsid w:val="005F2A12"/>
    <w:rsid w:val="005F3909"/>
    <w:rsid w:val="006056CB"/>
    <w:rsid w:val="006104BC"/>
    <w:rsid w:val="00611E67"/>
    <w:rsid w:val="006272D0"/>
    <w:rsid w:val="00637D4A"/>
    <w:rsid w:val="006652FB"/>
    <w:rsid w:val="00666651"/>
    <w:rsid w:val="00671C70"/>
    <w:rsid w:val="00690F04"/>
    <w:rsid w:val="00696E3A"/>
    <w:rsid w:val="006A5963"/>
    <w:rsid w:val="006B1C90"/>
    <w:rsid w:val="006B1E17"/>
    <w:rsid w:val="006D16BD"/>
    <w:rsid w:val="007031F6"/>
    <w:rsid w:val="00703C44"/>
    <w:rsid w:val="00720391"/>
    <w:rsid w:val="00754A29"/>
    <w:rsid w:val="0076139A"/>
    <w:rsid w:val="00777146"/>
    <w:rsid w:val="00795EFA"/>
    <w:rsid w:val="007A335A"/>
    <w:rsid w:val="007B0751"/>
    <w:rsid w:val="007B7A7C"/>
    <w:rsid w:val="007C0DDE"/>
    <w:rsid w:val="007D3B11"/>
    <w:rsid w:val="007D46BD"/>
    <w:rsid w:val="007D66D0"/>
    <w:rsid w:val="007E1E39"/>
    <w:rsid w:val="007E2D2E"/>
    <w:rsid w:val="007E6C0E"/>
    <w:rsid w:val="008014E6"/>
    <w:rsid w:val="0082095D"/>
    <w:rsid w:val="00850E6C"/>
    <w:rsid w:val="0085495E"/>
    <w:rsid w:val="00892400"/>
    <w:rsid w:val="00894CC7"/>
    <w:rsid w:val="008A1FFB"/>
    <w:rsid w:val="008F0356"/>
    <w:rsid w:val="00921DD4"/>
    <w:rsid w:val="00933066"/>
    <w:rsid w:val="00941911"/>
    <w:rsid w:val="00953D5D"/>
    <w:rsid w:val="0097340E"/>
    <w:rsid w:val="009C0EDB"/>
    <w:rsid w:val="009D24AC"/>
    <w:rsid w:val="009E356E"/>
    <w:rsid w:val="00A170F7"/>
    <w:rsid w:val="00A23833"/>
    <w:rsid w:val="00A30125"/>
    <w:rsid w:val="00A63BE6"/>
    <w:rsid w:val="00AA1093"/>
    <w:rsid w:val="00AB03FD"/>
    <w:rsid w:val="00AD5463"/>
    <w:rsid w:val="00AE3283"/>
    <w:rsid w:val="00B234F7"/>
    <w:rsid w:val="00B26AC6"/>
    <w:rsid w:val="00B44641"/>
    <w:rsid w:val="00B56AEA"/>
    <w:rsid w:val="00B6567A"/>
    <w:rsid w:val="00BC0CBD"/>
    <w:rsid w:val="00BD3540"/>
    <w:rsid w:val="00BE6117"/>
    <w:rsid w:val="00C209FF"/>
    <w:rsid w:val="00C444AF"/>
    <w:rsid w:val="00C511A3"/>
    <w:rsid w:val="00C51A83"/>
    <w:rsid w:val="00C67F09"/>
    <w:rsid w:val="00C73317"/>
    <w:rsid w:val="00D051DF"/>
    <w:rsid w:val="00D10308"/>
    <w:rsid w:val="00D16558"/>
    <w:rsid w:val="00D17996"/>
    <w:rsid w:val="00D51AB6"/>
    <w:rsid w:val="00D81F83"/>
    <w:rsid w:val="00D86BF6"/>
    <w:rsid w:val="00D966F2"/>
    <w:rsid w:val="00DC45AB"/>
    <w:rsid w:val="00DC7BA1"/>
    <w:rsid w:val="00DE19DC"/>
    <w:rsid w:val="00E11BD0"/>
    <w:rsid w:val="00E604A1"/>
    <w:rsid w:val="00E61F73"/>
    <w:rsid w:val="00E70864"/>
    <w:rsid w:val="00E8580B"/>
    <w:rsid w:val="00EB7133"/>
    <w:rsid w:val="00ED2114"/>
    <w:rsid w:val="00ED6FC7"/>
    <w:rsid w:val="00EF3541"/>
    <w:rsid w:val="00F00C02"/>
    <w:rsid w:val="00F04B84"/>
    <w:rsid w:val="00F21D9C"/>
    <w:rsid w:val="00F470F8"/>
    <w:rsid w:val="00F84FA5"/>
    <w:rsid w:val="00F93B0C"/>
    <w:rsid w:val="00FD2C95"/>
    <w:rsid w:val="00FD3E29"/>
    <w:rsid w:val="00FF19EE"/>
    <w:rsid w:val="00FF1A72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ED836"/>
  <w15:docId w15:val="{EB078F99-0E31-4EC7-B56A-5D7D6BC8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basedOn w:val="DefaultParagraphFont"/>
    <w:unhideWhenUsed/>
    <w:rsid w:val="00C507A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D46EDD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1E4B4A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1E4B4A"/>
  </w:style>
  <w:style w:type="paragraph" w:customStyle="1" w:styleId="Nadpis">
    <w:name w:val="Nadpis"/>
    <w:basedOn w:val="Normal"/>
    <w:next w:val="BodyText"/>
    <w:qFormat/>
    <w:rsid w:val="001E4B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E4B4A"/>
    <w:pPr>
      <w:spacing w:after="140" w:line="276" w:lineRule="auto"/>
    </w:pPr>
  </w:style>
  <w:style w:type="paragraph" w:styleId="List">
    <w:name w:val="List"/>
    <w:basedOn w:val="BodyText"/>
    <w:rsid w:val="001E4B4A"/>
    <w:rPr>
      <w:rFonts w:cs="Arial"/>
    </w:rPr>
  </w:style>
  <w:style w:type="paragraph" w:styleId="Caption">
    <w:name w:val="caption"/>
    <w:basedOn w:val="Normal"/>
    <w:qFormat/>
    <w:rsid w:val="001E4B4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1E4B4A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1E4B4A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1E4B4A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0B4CED"/>
    <w:rPr>
      <w:color w:val="0000FF" w:themeColor="hyperlink"/>
      <w:u w:val="single"/>
    </w:rPr>
  </w:style>
  <w:style w:type="character" w:styleId="FootnoteReference">
    <w:name w:val="footnote reference"/>
    <w:uiPriority w:val="99"/>
    <w:rsid w:val="000C4FA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D16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oldings.panasonic/globa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ircon.panasonic.eu/CZ_cs/happening/nova-zelena-uspora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panasonic.cz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7347e5ae16b5f246e27645747729bd3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5db470a7e454200edad7dd8faa362a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272F0988-CAB3-4C3F-862F-0098464AE3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3672E5-438B-4E2C-8152-8739653A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5827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lastModifiedBy>Igor Walter</cp:lastModifiedBy>
  <cp:revision>2</cp:revision>
  <dcterms:created xsi:type="dcterms:W3CDTF">2024-09-04T16:13:00Z</dcterms:created>
  <dcterms:modified xsi:type="dcterms:W3CDTF">2024-09-04T16:13:00Z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