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0CBA" w14:textId="2DB86AA5" w:rsidR="00A06367" w:rsidRDefault="00A44A59" w:rsidP="00E93FD1">
      <w:pPr>
        <w:spacing w:after="0" w:line="276" w:lineRule="auto"/>
        <w:jc w:val="center"/>
        <w:rPr>
          <w:rFonts w:ascii="Proxima Nova" w:hAnsi="Proxima Nova"/>
          <w:noProof/>
          <w:sz w:val="32"/>
          <w:szCs w:val="32"/>
        </w:rPr>
      </w:pPr>
      <w:r>
        <w:rPr>
          <w:rFonts w:ascii="Proxima Nova" w:hAnsi="Proxima Nova"/>
          <w:noProof/>
          <w:sz w:val="32"/>
          <w:szCs w:val="32"/>
        </w:rPr>
        <w:t>Bezmála sto škol</w:t>
      </w:r>
      <w:r w:rsidR="003742CB">
        <w:rPr>
          <w:rFonts w:ascii="Proxima Nova" w:hAnsi="Proxima Nova"/>
          <w:noProof/>
          <w:sz w:val="32"/>
          <w:szCs w:val="32"/>
        </w:rPr>
        <w:t xml:space="preserve"> z 8 zemí </w:t>
      </w:r>
      <w:r>
        <w:rPr>
          <w:rFonts w:ascii="Proxima Nova" w:hAnsi="Proxima Nova"/>
          <w:noProof/>
          <w:sz w:val="32"/>
          <w:szCs w:val="32"/>
        </w:rPr>
        <w:t>Evrop</w:t>
      </w:r>
      <w:r w:rsidR="003742CB">
        <w:rPr>
          <w:rFonts w:ascii="Proxima Nova" w:hAnsi="Proxima Nova"/>
          <w:noProof/>
          <w:sz w:val="32"/>
          <w:szCs w:val="32"/>
        </w:rPr>
        <w:t>y</w:t>
      </w:r>
      <w:r>
        <w:rPr>
          <w:rFonts w:ascii="Proxima Nova" w:hAnsi="Proxima Nova"/>
          <w:noProof/>
          <w:sz w:val="32"/>
          <w:szCs w:val="32"/>
        </w:rPr>
        <w:t xml:space="preserve"> </w:t>
      </w:r>
      <w:r w:rsidR="00114305">
        <w:rPr>
          <w:rFonts w:ascii="Proxima Nova" w:hAnsi="Proxima Nova"/>
          <w:noProof/>
          <w:sz w:val="32"/>
          <w:szCs w:val="32"/>
        </w:rPr>
        <w:br/>
      </w:r>
      <w:r>
        <w:rPr>
          <w:rFonts w:ascii="Proxima Nova" w:hAnsi="Proxima Nova"/>
          <w:noProof/>
          <w:sz w:val="32"/>
          <w:szCs w:val="32"/>
        </w:rPr>
        <w:t xml:space="preserve">se </w:t>
      </w:r>
      <w:r w:rsidR="00A06367">
        <w:rPr>
          <w:rFonts w:ascii="Proxima Nova" w:hAnsi="Proxima Nova"/>
          <w:noProof/>
          <w:sz w:val="32"/>
          <w:szCs w:val="32"/>
        </w:rPr>
        <w:t>utká o titul elektro</w:t>
      </w:r>
      <w:r w:rsidR="00700257">
        <w:rPr>
          <w:rFonts w:ascii="Proxima Nova" w:hAnsi="Proxima Nova"/>
          <w:noProof/>
          <w:sz w:val="32"/>
          <w:szCs w:val="32"/>
        </w:rPr>
        <w:t>technick</w:t>
      </w:r>
      <w:r w:rsidR="0012067D">
        <w:rPr>
          <w:rFonts w:ascii="Proxima Nova" w:hAnsi="Proxima Nova"/>
          <w:noProof/>
          <w:sz w:val="32"/>
          <w:szCs w:val="32"/>
        </w:rPr>
        <w:t>ý</w:t>
      </w:r>
      <w:r w:rsidR="00A06367">
        <w:rPr>
          <w:rFonts w:ascii="Proxima Nova" w:hAnsi="Proxima Nova"/>
          <w:noProof/>
          <w:sz w:val="32"/>
          <w:szCs w:val="32"/>
        </w:rPr>
        <w:t xml:space="preserve"> projekt roku</w:t>
      </w:r>
    </w:p>
    <w:p w14:paraId="345BAE37" w14:textId="77777777" w:rsidR="00A06367" w:rsidRDefault="00A06367" w:rsidP="00574281">
      <w:pPr>
        <w:spacing w:after="0" w:line="276" w:lineRule="auto"/>
        <w:jc w:val="center"/>
        <w:rPr>
          <w:rFonts w:ascii="Proxima Nova" w:hAnsi="Proxima Nova"/>
          <w:i/>
          <w:iCs/>
          <w:noProof/>
          <w:szCs w:val="18"/>
        </w:rPr>
      </w:pPr>
    </w:p>
    <w:p w14:paraId="1810C33A" w14:textId="50A15F21" w:rsidR="00E93FD1" w:rsidRDefault="0011420D" w:rsidP="00E93FD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114305">
        <w:rPr>
          <w:rFonts w:ascii="Proxima Nova" w:hAnsi="Proxima Nova"/>
          <w:color w:val="000000" w:themeColor="text1"/>
          <w:sz w:val="20"/>
          <w:szCs w:val="20"/>
        </w:rPr>
        <w:t xml:space="preserve">V Praze </w:t>
      </w:r>
      <w:r w:rsidR="00114305" w:rsidRPr="00114305">
        <w:rPr>
          <w:rFonts w:ascii="Proxima Nova" w:hAnsi="Proxima Nova"/>
          <w:color w:val="000000" w:themeColor="text1"/>
          <w:sz w:val="20"/>
          <w:szCs w:val="20"/>
        </w:rPr>
        <w:t>4</w:t>
      </w:r>
      <w:r w:rsidR="00574281" w:rsidRPr="00114305">
        <w:rPr>
          <w:rFonts w:ascii="Proxima Nova" w:hAnsi="Proxima Nova"/>
          <w:color w:val="000000" w:themeColor="text1"/>
          <w:sz w:val="20"/>
          <w:szCs w:val="20"/>
        </w:rPr>
        <w:t xml:space="preserve">. </w:t>
      </w:r>
      <w:r w:rsidR="003742CB" w:rsidRPr="00114305">
        <w:rPr>
          <w:rFonts w:ascii="Proxima Nova" w:hAnsi="Proxima Nova"/>
          <w:color w:val="000000" w:themeColor="text1"/>
          <w:sz w:val="20"/>
          <w:szCs w:val="20"/>
        </w:rPr>
        <w:t xml:space="preserve">prosince </w:t>
      </w:r>
      <w:r w:rsidRPr="00114305">
        <w:rPr>
          <w:rFonts w:ascii="Proxima Nova" w:hAnsi="Proxima Nova"/>
          <w:color w:val="000000" w:themeColor="text1"/>
          <w:sz w:val="20"/>
          <w:szCs w:val="20"/>
        </w:rPr>
        <w:t>202</w:t>
      </w:r>
      <w:r w:rsidR="00FA6B54" w:rsidRPr="00114305">
        <w:rPr>
          <w:rFonts w:ascii="Proxima Nova" w:hAnsi="Proxima Nova"/>
          <w:color w:val="000000" w:themeColor="text1"/>
          <w:sz w:val="20"/>
          <w:szCs w:val="20"/>
        </w:rPr>
        <w:t>5</w:t>
      </w:r>
      <w:r w:rsidRPr="00114305">
        <w:rPr>
          <w:rFonts w:ascii="Proxima Nova" w:hAnsi="Proxima Nova"/>
          <w:color w:val="000000" w:themeColor="text1"/>
          <w:sz w:val="20"/>
          <w:szCs w:val="20"/>
        </w:rPr>
        <w:t xml:space="preserve"> – </w:t>
      </w:r>
      <w:r w:rsidR="00E93FD1" w:rsidRPr="0011430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Společnost NOARK Electric připravila na školní rok 2025/2026 další, v pořadí již pátý ročník soutěže NOARK PLNÍ SNY ŠKOLÁM. Hlavním cílem soutěže je umožnit studentům oboru elektrotechniky rozvíjet kreativitu při plánování a realizaci vlastních projektů a dát jim příležitost pracovat s reálnými komponenty z praxe. Registrace do soutěže již skončila. Celkem se do aktuálního ročníku </w:t>
      </w:r>
      <w:r w:rsidR="003D4D22" w:rsidRPr="00114305">
        <w:rPr>
          <w:rFonts w:ascii="Proxima Nova" w:hAnsi="Proxima Nova"/>
          <w:b/>
          <w:bCs/>
          <w:color w:val="000000" w:themeColor="text1"/>
          <w:sz w:val="20"/>
          <w:szCs w:val="20"/>
        </w:rPr>
        <w:t>přihlásilo</w:t>
      </w:r>
      <w:r w:rsidR="00E93FD1" w:rsidRPr="0011430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92 středních elektrotechnických</w:t>
      </w:r>
      <w:r w:rsidR="00E93FD1" w:rsidRPr="00E93FD1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škol a učilišť z osmi evropských zemí.</w:t>
      </w:r>
    </w:p>
    <w:p w14:paraId="4852642B" w14:textId="77777777" w:rsidR="00E93FD1" w:rsidRPr="00E93FD1" w:rsidRDefault="00E93FD1" w:rsidP="00E93FD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44484582" w14:textId="77777777" w:rsidR="003D4D22" w:rsidRPr="003D4D22" w:rsidRDefault="003D4D22" w:rsidP="003D4D22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3D4D22">
        <w:rPr>
          <w:rFonts w:ascii="Proxima Nova" w:hAnsi="Proxima Nova"/>
          <w:color w:val="000000" w:themeColor="text1"/>
          <w:sz w:val="20"/>
          <w:szCs w:val="20"/>
        </w:rPr>
        <w:t>Značka NOARK Electric, významný výrobce elektrotechnických přístrojů a komponentů, se dlouhodobě snaží podporovat novou generaci studentů a žáků středních škol a učilišť v jejich vzdělávacím procesu. V soutěži NOARK PLNÍ SNY ŠKOLÁM mají členové soutěžních týmů za úkol navrhnout, postavit a prezentovat projekt, ve kterém jsou využity elektrotechnické produkty dodané v soutěžním balíčku. Do soutěže se přihlásilo 92 vzdělávacích institucí z osmi evropských zemí. Konkrétně 25 škol je z ČR, 9 ze Slovenska, 31 z Rumunska, 10 ze Srbska, dohromady 10 škol z Lotyšska, Litvy a Estonska a 7 z Bulharska. Všem zapojeným školám již byly odeslány produktové balíčky a studenti nyní naplno pracují na svých projektech. Na jejich dokončení a odevzdání mají čas do 31. ledna 2026.</w:t>
      </w:r>
    </w:p>
    <w:p w14:paraId="46B3EE9B" w14:textId="77777777" w:rsidR="003A0BE5" w:rsidRPr="003A0BE5" w:rsidRDefault="003D4D22" w:rsidP="003A0BE5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3D4D22">
        <w:rPr>
          <w:rFonts w:ascii="Proxima Nova" w:hAnsi="Proxima Nova"/>
          <w:color w:val="000000" w:themeColor="text1"/>
          <w:sz w:val="20"/>
          <w:szCs w:val="20"/>
        </w:rPr>
        <w:br/>
      </w:r>
      <w:r w:rsidR="004B035E" w:rsidRPr="003D4D22">
        <w:rPr>
          <w:rFonts w:ascii="Proxima Nova" w:hAnsi="Proxima Nova"/>
          <w:b/>
          <w:bCs/>
          <w:color w:val="000000" w:themeColor="text1"/>
          <w:sz w:val="20"/>
          <w:szCs w:val="20"/>
        </w:rPr>
        <w:t>O finalistech rozhodne hlasování</w:t>
      </w:r>
      <w:r w:rsidR="004B035E" w:rsidRPr="003D4D22">
        <w:rPr>
          <w:rFonts w:ascii="Proxima Nova" w:hAnsi="Proxima Nova"/>
          <w:color w:val="000000" w:themeColor="text1"/>
          <w:sz w:val="20"/>
          <w:szCs w:val="20"/>
        </w:rPr>
        <w:br/>
      </w:r>
      <w:r w:rsidR="003A0BE5" w:rsidRPr="003A0BE5">
        <w:rPr>
          <w:rFonts w:ascii="Proxima Nova" w:hAnsi="Proxima Nova"/>
          <w:color w:val="000000" w:themeColor="text1"/>
          <w:sz w:val="20"/>
          <w:szCs w:val="20"/>
        </w:rPr>
        <w:t xml:space="preserve">Členové týmů a jejich mentoři z řad pedagogických pracovníků mají za úkol sestavit libovolnou funkční aplikaci, která viditelně využije </w:t>
      </w:r>
      <w:r w:rsidR="003A0BE5" w:rsidRPr="00114305">
        <w:rPr>
          <w:rFonts w:ascii="Proxima Nova" w:hAnsi="Proxima Nova"/>
          <w:color w:val="000000" w:themeColor="text1"/>
          <w:sz w:val="20"/>
          <w:szCs w:val="20"/>
        </w:rPr>
        <w:t>alespoň polovinu zaslaných elektrotechnických produktů. Všechny projekty spojuje téma Udržitelná budoucnost, jež propojuje technické dovednosti studentů s řešeními podporujícími odpovědné nakládání s energií a zdroji. Týmy si mohou vybrat jednu ze tří oblastí – Řízení výroby a spotřeby energie, Akumulace a stabilita sítě nebo Recyklace a zpracování odpadu.</w:t>
      </w:r>
    </w:p>
    <w:p w14:paraId="00E61251" w14:textId="77777777" w:rsidR="003A0BE5" w:rsidRPr="003A0BE5" w:rsidRDefault="003A0BE5" w:rsidP="003A0BE5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</w:p>
    <w:p w14:paraId="7FD57A56" w14:textId="19B4A3C2" w:rsidR="003A0BE5" w:rsidRPr="003A0BE5" w:rsidRDefault="003A0BE5" w:rsidP="003A0BE5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20"/>
          <w:szCs w:val="20"/>
        </w:rPr>
      </w:pPr>
      <w:r w:rsidRPr="003A0BE5">
        <w:rPr>
          <w:rFonts w:ascii="Proxima Nova" w:hAnsi="Proxima Nova"/>
          <w:color w:val="000000" w:themeColor="text1"/>
          <w:sz w:val="20"/>
          <w:szCs w:val="20"/>
        </w:rPr>
        <w:t>Po odevzdání projektů budou všechna projektová videa zveřejněna na webu soutěže www.noark-schools.com, kde od 1. února 2026 po celý měsíc proběhne veřejné hlasování</w:t>
      </w:r>
      <w:r w:rsidRPr="00114305">
        <w:rPr>
          <w:rFonts w:ascii="Proxima Nova" w:hAnsi="Proxima Nova"/>
          <w:color w:val="000000" w:themeColor="text1"/>
          <w:sz w:val="20"/>
          <w:szCs w:val="20"/>
        </w:rPr>
        <w:t>. Pět videí s největším počtem hlasů postoupí do finále, v němž odborná porota vybere trojici vítězných projektů z dané země. Vítězné projekty získají pro své školy 50 000 Kč a studenti, kteří se na nich podíleli, obdrží vouchery v hodnotě 15 000 Kč. Osm národních vítězů zároveň automaticky postoupí do evropského finále, kde se utkají o hlavní cenu – evropský titul, peněžitou</w:t>
      </w:r>
      <w:r w:rsidRPr="003A0BE5">
        <w:rPr>
          <w:rFonts w:ascii="Proxima Nova" w:hAnsi="Proxima Nova"/>
          <w:color w:val="000000" w:themeColor="text1"/>
          <w:sz w:val="20"/>
          <w:szCs w:val="20"/>
        </w:rPr>
        <w:t xml:space="preserve"> výhru 200 000 Kč pro svou školu a produkty NOARK Electric v hodnotě 50 000 Kč.</w:t>
      </w:r>
    </w:p>
    <w:p w14:paraId="4E3B1E0B" w14:textId="3BC320C4" w:rsidR="003D4D22" w:rsidRDefault="003D4D22" w:rsidP="003A0BE5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</w:p>
    <w:p w14:paraId="34357632" w14:textId="77E8F675" w:rsidR="003D4D22" w:rsidRPr="003D4D22" w:rsidRDefault="003D4D22" w:rsidP="003D4D22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3A0BE5">
        <w:rPr>
          <w:rFonts w:ascii="Proxima Nova" w:hAnsi="Proxima Nova"/>
          <w:b/>
          <w:bCs/>
          <w:color w:val="000000" w:themeColor="text1"/>
          <w:sz w:val="20"/>
          <w:szCs w:val="20"/>
        </w:rPr>
        <w:t>Evropské finále opět v Praze</w:t>
      </w:r>
      <w:r w:rsidRPr="003A0BE5">
        <w:rPr>
          <w:rFonts w:ascii="Proxima Nova" w:hAnsi="Proxima Nova"/>
          <w:color w:val="000000" w:themeColor="text1"/>
          <w:sz w:val="20"/>
          <w:szCs w:val="20"/>
        </w:rPr>
        <w:br/>
      </w:r>
      <w:r w:rsidR="007D7C07" w:rsidRPr="003A0BE5">
        <w:rPr>
          <w:rFonts w:ascii="Proxima Nova" w:hAnsi="Proxima Nova"/>
          <w:color w:val="000000" w:themeColor="text1"/>
          <w:sz w:val="20"/>
          <w:szCs w:val="20"/>
        </w:rPr>
        <w:t xml:space="preserve">Loňský ročník byl výjimečný, jelikož evropské finále </w:t>
      </w:r>
      <w:r w:rsidRPr="003A0BE5">
        <w:rPr>
          <w:rFonts w:ascii="Proxima Nova" w:hAnsi="Proxima Nova"/>
          <w:color w:val="000000" w:themeColor="text1"/>
          <w:sz w:val="20"/>
          <w:szCs w:val="20"/>
        </w:rPr>
        <w:t xml:space="preserve">se </w:t>
      </w:r>
      <w:r w:rsidR="004B035E" w:rsidRPr="003A0BE5">
        <w:rPr>
          <w:rFonts w:ascii="Proxima Nova" w:hAnsi="Proxima Nova"/>
          <w:color w:val="000000" w:themeColor="text1"/>
          <w:sz w:val="20"/>
          <w:szCs w:val="20"/>
        </w:rPr>
        <w:t>konalo poprvé v historii soutěže. Do té doby porota určovala pouze vítěze v jednotlivých zemí. Prvním evropským šampionem se v Praze stal</w:t>
      </w:r>
      <w:r w:rsidRPr="003A0BE5">
        <w:rPr>
          <w:rFonts w:ascii="Proxima Nova" w:hAnsi="Proxima Nova"/>
          <w:color w:val="000000" w:themeColor="text1"/>
          <w:sz w:val="20"/>
          <w:szCs w:val="20"/>
        </w:rPr>
        <w:t xml:space="preserve"> srbský tým z Technické školy Čačak s projektem automatické linky na řezání polystyrenu. Český vítěz – sedmnáctiletý Matěj Steinberger ze Střední školy řemesel Frýdek-Místek – se s projektem fotovoltaické elektrárny a chytrého řízení obnovitelných zdrojů energie umístil v evropské konkurenci na cenném pátém místě. </w:t>
      </w:r>
      <w:r w:rsidR="004B035E" w:rsidRPr="003A0BE5">
        <w:rPr>
          <w:rFonts w:ascii="Proxima Nova" w:hAnsi="Proxima Nova"/>
          <w:i/>
          <w:iCs/>
          <w:color w:val="000000" w:themeColor="text1"/>
          <w:sz w:val="20"/>
          <w:szCs w:val="20"/>
        </w:rPr>
        <w:t>„</w:t>
      </w:r>
      <w:r w:rsidR="001C1C29" w:rsidRPr="003A0BE5">
        <w:rPr>
          <w:rFonts w:ascii="Proxima Nova" w:hAnsi="Proxima Nova"/>
          <w:i/>
          <w:iCs/>
          <w:color w:val="000000" w:themeColor="text1"/>
          <w:sz w:val="20"/>
          <w:szCs w:val="20"/>
        </w:rPr>
        <w:t xml:space="preserve">Elektrotechnika se vyvíjí závratným tempem a školy na to musí reagovat. Jako NOARK nechceme být jen dodavatelem produktů, ale i partnerem, který studentům díky soutěži umožní pracovat s reálnými produkty, postavit funkční řešení a porovnat se s vrstevníky z dalších zemí. Jsem přesvědčen, že evropské finále aktuálního ročníku, které bude na jaře 2026 opět hostit Praha, ukáže řadu originálních a špičkových projektů,“ </w:t>
      </w:r>
      <w:r w:rsidR="003A0BE5">
        <w:rPr>
          <w:rFonts w:ascii="Proxima Nova" w:hAnsi="Proxima Nova"/>
          <w:i/>
          <w:iCs/>
          <w:color w:val="000000" w:themeColor="text1"/>
          <w:sz w:val="20"/>
          <w:szCs w:val="20"/>
        </w:rPr>
        <w:br/>
      </w:r>
      <w:r w:rsidRPr="003A0BE5">
        <w:rPr>
          <w:rFonts w:ascii="Proxima Nova" w:hAnsi="Proxima Nova"/>
          <w:color w:val="000000" w:themeColor="text1"/>
          <w:sz w:val="20"/>
          <w:szCs w:val="20"/>
        </w:rPr>
        <w:t xml:space="preserve">říká </w:t>
      </w:r>
      <w:r w:rsidRPr="003A0BE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Karel Havlíček, Marketing </w:t>
      </w:r>
      <w:proofErr w:type="spellStart"/>
      <w:r w:rsidRPr="003A0BE5">
        <w:rPr>
          <w:rFonts w:ascii="Proxima Nova" w:hAnsi="Proxima Nova"/>
          <w:b/>
          <w:bCs/>
          <w:color w:val="000000" w:themeColor="text1"/>
          <w:sz w:val="20"/>
          <w:szCs w:val="20"/>
        </w:rPr>
        <w:t>Regional</w:t>
      </w:r>
      <w:proofErr w:type="spellEnd"/>
      <w:r w:rsidRPr="003A0BE5">
        <w:rPr>
          <w:rFonts w:ascii="Proxima Nova" w:hAnsi="Proxima Nova"/>
          <w:b/>
          <w:bCs/>
          <w:color w:val="000000" w:themeColor="text1"/>
          <w:sz w:val="20"/>
          <w:szCs w:val="20"/>
        </w:rPr>
        <w:t xml:space="preserve"> Manager společnosti NOARK Electric.</w:t>
      </w:r>
    </w:p>
    <w:p w14:paraId="0A9F0BA0" w14:textId="77777777" w:rsidR="003D4D22" w:rsidRPr="003D4D22" w:rsidRDefault="003D4D22" w:rsidP="003D4D22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</w:p>
    <w:p w14:paraId="020425F9" w14:textId="4A0F8951" w:rsidR="003D4D22" w:rsidRPr="003D4D22" w:rsidRDefault="003D4D22" w:rsidP="003D4D22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  <w:r w:rsidRPr="003D4D22">
        <w:rPr>
          <w:rFonts w:ascii="Proxima Nova" w:hAnsi="Proxima Nova"/>
          <w:b/>
          <w:bCs/>
          <w:color w:val="000000" w:themeColor="text1"/>
          <w:sz w:val="20"/>
          <w:szCs w:val="20"/>
        </w:rPr>
        <w:t>Podpora a záštita odborné veřejnosti</w:t>
      </w:r>
      <w:r w:rsidRPr="003D4D22">
        <w:rPr>
          <w:rFonts w:ascii="Proxima Nova" w:hAnsi="Proxima Nova"/>
          <w:color w:val="000000" w:themeColor="text1"/>
          <w:sz w:val="20"/>
          <w:szCs w:val="20"/>
        </w:rPr>
        <w:br/>
        <w:t xml:space="preserve">Význam soutěže i její mezinárodní přesah podtrhuje podpora ze strany odborných organizací v čele se Svazem moderní energetiky, který již druhým rokem poskytuje soutěži záštitu. </w:t>
      </w:r>
      <w:r w:rsidRPr="003D4D22">
        <w:rPr>
          <w:rFonts w:ascii="Proxima Nova" w:hAnsi="Proxima Nova"/>
          <w:i/>
          <w:iCs/>
          <w:color w:val="000000" w:themeColor="text1"/>
          <w:sz w:val="20"/>
          <w:szCs w:val="20"/>
        </w:rPr>
        <w:t>„Evropa sází na obnovitelné zdroje, elektromobilitu i moderní technologie, ale bez dobře připravených techniků a inženýrů se dál nepohneme. Soutěž NOARK PLNÍ SNY ŠKOLÁM pomáhá studentům získat praktické zkušenosti a zároveň je vystavuje mezinárodnímu srovnání v rámci Evropy</w:t>
      </w:r>
      <w:r>
        <w:rPr>
          <w:rFonts w:ascii="Proxima Nova" w:hAnsi="Proxima Nova"/>
          <w:i/>
          <w:iCs/>
          <w:color w:val="000000" w:themeColor="text1"/>
          <w:sz w:val="20"/>
          <w:szCs w:val="20"/>
        </w:rPr>
        <w:t>. To je velmi cenná kombinace</w:t>
      </w:r>
      <w:r w:rsidRPr="003D4D22">
        <w:rPr>
          <w:rFonts w:ascii="Proxima Nova" w:hAnsi="Proxima Nova"/>
          <w:i/>
          <w:iCs/>
          <w:color w:val="000000" w:themeColor="text1"/>
          <w:sz w:val="20"/>
          <w:szCs w:val="20"/>
        </w:rPr>
        <w:t>,“</w:t>
      </w:r>
      <w:r w:rsidRPr="003D4D22">
        <w:rPr>
          <w:rFonts w:ascii="Proxima Nova" w:hAnsi="Proxima Nova"/>
          <w:color w:val="000000" w:themeColor="text1"/>
          <w:sz w:val="20"/>
          <w:szCs w:val="20"/>
        </w:rPr>
        <w:t xml:space="preserve"> vysvětluje </w:t>
      </w:r>
      <w:r w:rsidRPr="003D4D22">
        <w:rPr>
          <w:rFonts w:ascii="Proxima Nova" w:hAnsi="Proxima Nova"/>
          <w:b/>
          <w:bCs/>
          <w:color w:val="000000" w:themeColor="text1"/>
          <w:sz w:val="20"/>
          <w:szCs w:val="20"/>
        </w:rPr>
        <w:t>Tomáš Buzrla, výkonný ředitel Svazu moderní energetiky.</w:t>
      </w:r>
    </w:p>
    <w:p w14:paraId="5611CBA7" w14:textId="77777777" w:rsidR="003D4D22" w:rsidRPr="003D4D22" w:rsidRDefault="003D4D22" w:rsidP="00E93FD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000000" w:themeColor="text1"/>
          <w:sz w:val="20"/>
          <w:szCs w:val="20"/>
        </w:rPr>
      </w:pPr>
    </w:p>
    <w:p w14:paraId="6B92EACF" w14:textId="1CED08F2" w:rsidR="002C6940" w:rsidRDefault="000621A1" w:rsidP="000621A1">
      <w:pPr>
        <w:tabs>
          <w:tab w:val="left" w:pos="5124"/>
        </w:tabs>
        <w:spacing w:after="0" w:line="276" w:lineRule="auto"/>
        <w:jc w:val="center"/>
        <w:rPr>
          <w:rFonts w:ascii="Proxima Nova" w:hAnsi="Proxima Nova"/>
          <w:b/>
          <w:bCs/>
          <w:sz w:val="20"/>
          <w:szCs w:val="20"/>
        </w:rPr>
      </w:pPr>
      <w:r w:rsidRPr="7D0196D0">
        <w:rPr>
          <w:rFonts w:ascii="Symbol" w:eastAsia="Symbol" w:hAnsi="Symbol" w:cs="Symbol"/>
          <w:b/>
          <w:bCs/>
          <w:sz w:val="20"/>
          <w:szCs w:val="20"/>
        </w:rPr>
        <w:t>###</w:t>
      </w:r>
    </w:p>
    <w:p w14:paraId="0DCE5F87" w14:textId="0E40A1EE" w:rsidR="7D0196D0" w:rsidRDefault="7D0196D0" w:rsidP="7D0196D0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</w:p>
    <w:p w14:paraId="1C49FD97" w14:textId="77777777" w:rsidR="004B035E" w:rsidRDefault="004B035E" w:rsidP="7D0196D0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</w:p>
    <w:p w14:paraId="6FF8E2BF" w14:textId="7E16143A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b/>
          <w:bCs/>
          <w:sz w:val="18"/>
          <w:szCs w:val="18"/>
        </w:rPr>
      </w:pPr>
      <w:bookmarkStart w:id="0" w:name="_Hlk129761050"/>
      <w:r w:rsidRPr="00D43999">
        <w:rPr>
          <w:rFonts w:ascii="Proxima Nova" w:hAnsi="Proxima Nova"/>
          <w:b/>
          <w:bCs/>
          <w:sz w:val="18"/>
          <w:szCs w:val="18"/>
        </w:rPr>
        <w:lastRenderedPageBreak/>
        <w:t>Kontakt pro média:</w:t>
      </w:r>
    </w:p>
    <w:p w14:paraId="3A1FBEFC" w14:textId="77777777" w:rsidR="000621A1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Igor Walter</w:t>
      </w:r>
    </w:p>
    <w:p w14:paraId="6EEE9E4A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Account Director</w:t>
      </w:r>
    </w:p>
    <w:p w14:paraId="533B676E" w14:textId="77777777" w:rsidR="000621A1" w:rsidRPr="00D43999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 xml:space="preserve">Phoenix Communication, a.s. </w:t>
      </w:r>
    </w:p>
    <w:p w14:paraId="28FBCC31" w14:textId="77777777" w:rsidR="000621A1" w:rsidRDefault="000621A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Opletalova 5-7</w:t>
      </w:r>
      <w:r>
        <w:rPr>
          <w:rFonts w:ascii="Proxima Nova" w:hAnsi="Proxima Nova"/>
          <w:sz w:val="18"/>
          <w:szCs w:val="18"/>
        </w:rPr>
        <w:t xml:space="preserve">, </w:t>
      </w:r>
      <w:r w:rsidRPr="00D43999">
        <w:rPr>
          <w:rFonts w:ascii="Proxima Nova" w:hAnsi="Proxima Nova"/>
          <w:sz w:val="18"/>
          <w:szCs w:val="18"/>
        </w:rPr>
        <w:t xml:space="preserve">Praha 1 </w:t>
      </w:r>
    </w:p>
    <w:p w14:paraId="39060B40" w14:textId="1518769C" w:rsidR="00574281" w:rsidRPr="00D43999" w:rsidRDefault="00574281" w:rsidP="000621A1">
      <w:pPr>
        <w:tabs>
          <w:tab w:val="left" w:pos="5124"/>
        </w:tabs>
        <w:spacing w:after="0"/>
        <w:rPr>
          <w:rFonts w:ascii="Proxima Nova" w:hAnsi="Proxima Nova"/>
          <w:sz w:val="18"/>
          <w:szCs w:val="18"/>
          <w:u w:val="single"/>
        </w:rPr>
      </w:pPr>
      <w:hyperlink r:id="rId11" w:history="1">
        <w:r w:rsidRPr="00663FF7">
          <w:rPr>
            <w:rStyle w:val="Hyperlink"/>
            <w:rFonts w:ascii="Proxima Nova" w:hAnsi="Proxima Nova"/>
            <w:sz w:val="18"/>
            <w:szCs w:val="18"/>
          </w:rPr>
          <w:t>igor@phoenixcom.cz</w:t>
        </w:r>
      </w:hyperlink>
    </w:p>
    <w:p w14:paraId="3D162E5F" w14:textId="5BAB11A0" w:rsidR="000621A1" w:rsidRDefault="000621A1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  <w:r w:rsidRPr="00D43999">
        <w:rPr>
          <w:rFonts w:ascii="Proxima Nova" w:hAnsi="Proxima Nova"/>
          <w:sz w:val="18"/>
          <w:szCs w:val="18"/>
        </w:rPr>
        <w:t>+420 777 658</w:t>
      </w:r>
      <w:r w:rsidR="001C1C29">
        <w:rPr>
          <w:rFonts w:ascii="Proxima Nova" w:hAnsi="Proxima Nova"/>
          <w:sz w:val="18"/>
          <w:szCs w:val="18"/>
        </w:rPr>
        <w:t> </w:t>
      </w:r>
      <w:r w:rsidRPr="00D43999">
        <w:rPr>
          <w:rFonts w:ascii="Proxima Nova" w:hAnsi="Proxima Nova"/>
          <w:sz w:val="18"/>
          <w:szCs w:val="18"/>
        </w:rPr>
        <w:t>876</w:t>
      </w:r>
    </w:p>
    <w:p w14:paraId="18B65BCD" w14:textId="77777777" w:rsidR="001C1C29" w:rsidRDefault="001C1C29" w:rsidP="000621A1">
      <w:pPr>
        <w:tabs>
          <w:tab w:val="left" w:pos="5124"/>
        </w:tabs>
        <w:spacing w:after="0" w:line="276" w:lineRule="auto"/>
        <w:rPr>
          <w:rFonts w:ascii="Proxima Nova" w:hAnsi="Proxima Nova"/>
          <w:sz w:val="18"/>
          <w:szCs w:val="18"/>
        </w:rPr>
      </w:pPr>
    </w:p>
    <w:p w14:paraId="175A6576" w14:textId="113138CD" w:rsidR="007A211D" w:rsidRPr="00AC3A44" w:rsidRDefault="007A211D" w:rsidP="000621A1">
      <w:pPr>
        <w:tabs>
          <w:tab w:val="left" w:pos="5124"/>
        </w:tabs>
        <w:spacing w:after="0" w:line="276" w:lineRule="auto"/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</w:pPr>
      <w:r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 xml:space="preserve">O společnosti </w:t>
      </w:r>
      <w:r w:rsidR="002C6940" w:rsidRPr="00AC3A44">
        <w:rPr>
          <w:rFonts w:ascii="Proxima Nova" w:hAnsi="Proxima Nova"/>
          <w:b/>
          <w:bCs/>
          <w:color w:val="A6A6A6" w:themeColor="background1" w:themeShade="A6"/>
          <w:sz w:val="18"/>
          <w:szCs w:val="18"/>
        </w:rPr>
        <w:t>NOARK Electric</w:t>
      </w:r>
    </w:p>
    <w:p w14:paraId="1C87FD18" w14:textId="671D1EB3" w:rsidR="007A211D" w:rsidRPr="000A633A" w:rsidRDefault="007A211D" w:rsidP="009F0701">
      <w:pPr>
        <w:tabs>
          <w:tab w:val="left" w:pos="5124"/>
        </w:tabs>
        <w:spacing w:after="0" w:line="276" w:lineRule="auto"/>
        <w:rPr>
          <w:rFonts w:ascii="Proxima Nova" w:hAnsi="Proxima Nova"/>
          <w:color w:val="000000" w:themeColor="text1"/>
          <w:sz w:val="18"/>
          <w:szCs w:val="18"/>
        </w:rPr>
      </w:pP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Mezinárodní společnost NOARK Electric se zabývá vývojem, výrobou a distribucí elektrotechnických přístrojů a komponentů. Založena byla v roce 2011 a v současné době působí na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26</w:t>
      </w:r>
      <w:r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trzích</w:t>
      </w:r>
      <w:r w:rsidR="005D0F28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po celé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Evrop</w:t>
      </w:r>
      <w:r w:rsidR="005D0F28" w:rsidRPr="00AC3A44">
        <w:rPr>
          <w:rFonts w:ascii="Proxima Nova" w:hAnsi="Proxima Nova"/>
          <w:color w:val="A6A6A6" w:themeColor="background1" w:themeShade="A6"/>
          <w:sz w:val="18"/>
          <w:szCs w:val="18"/>
        </w:rPr>
        <w:t>ě</w:t>
      </w:r>
      <w:r w:rsidR="0095199B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a její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BD4EFB" w:rsidRPr="00AC3A44">
        <w:rPr>
          <w:rFonts w:ascii="Proxima Nova" w:hAnsi="Proxima Nova"/>
          <w:color w:val="A6A6A6" w:themeColor="background1" w:themeShade="A6"/>
          <w:sz w:val="18"/>
          <w:szCs w:val="18"/>
        </w:rPr>
        <w:t>centrála sídlí v České republice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>. Obrat společnosti činil v roce 2022</w:t>
      </w:r>
      <w:r w:rsidR="002C69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48,6 </w:t>
      </w:r>
      <w:r w:rsidR="00B234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>milion</w:t>
      </w:r>
      <w:r w:rsidR="00B23440">
        <w:rPr>
          <w:rFonts w:ascii="Proxima Nova" w:hAnsi="Proxima Nova"/>
          <w:color w:val="A6A6A6" w:themeColor="background1" w:themeShade="A6"/>
          <w:sz w:val="18"/>
          <w:szCs w:val="18"/>
        </w:rPr>
        <w:t>u</w:t>
      </w:r>
      <w:r w:rsidR="00B234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</w:t>
      </w:r>
      <w:r w:rsidR="00471D5A" w:rsidRPr="00AC3A44">
        <w:rPr>
          <w:rFonts w:ascii="Proxima Nova" w:hAnsi="Proxima Nova"/>
          <w:color w:val="A6A6A6" w:themeColor="background1" w:themeShade="A6"/>
          <w:sz w:val="18"/>
          <w:szCs w:val="18"/>
        </w:rPr>
        <w:t>eur.</w:t>
      </w:r>
      <w:r w:rsidR="002C6940" w:rsidRPr="00AC3A44">
        <w:rPr>
          <w:rFonts w:ascii="Proxima Nova" w:hAnsi="Proxima Nova"/>
          <w:color w:val="A6A6A6" w:themeColor="background1" w:themeShade="A6"/>
          <w:sz w:val="18"/>
          <w:szCs w:val="18"/>
        </w:rPr>
        <w:t xml:space="preserve"> Kromě významných investic do vývoje se značka soustředí na nadstandardní záruky a výjimečnou péči o zákazníky a obchodní partnery. Více o společnosti naleznete na </w:t>
      </w:r>
      <w:hyperlink r:id="rId12" w:history="1">
        <w:r w:rsidR="002C6940" w:rsidRPr="00AC3A44">
          <w:rPr>
            <w:rStyle w:val="Hyperlink"/>
            <w:rFonts w:ascii="Proxima Nova" w:hAnsi="Proxima Nova"/>
            <w:sz w:val="18"/>
            <w:szCs w:val="18"/>
          </w:rPr>
          <w:t>www.noark-electric.cz</w:t>
        </w:r>
      </w:hyperlink>
      <w:r w:rsidR="002C6940" w:rsidRPr="00AC3A44">
        <w:rPr>
          <w:rFonts w:ascii="Proxima Nova" w:hAnsi="Proxima Nova"/>
          <w:color w:val="000000" w:themeColor="text1"/>
          <w:sz w:val="18"/>
          <w:szCs w:val="18"/>
        </w:rPr>
        <w:t>.</w:t>
      </w:r>
      <w:bookmarkEnd w:id="0"/>
    </w:p>
    <w:sectPr w:rsidR="007A211D" w:rsidRPr="000A633A" w:rsidSect="000A633A">
      <w:headerReference w:type="default" r:id="rId13"/>
      <w:pgSz w:w="11906" w:h="16838"/>
      <w:pgMar w:top="426" w:right="566" w:bottom="426" w:left="426" w:header="6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7ACD7" w14:textId="77777777" w:rsidR="00325899" w:rsidRDefault="00325899" w:rsidP="00EF0F86">
      <w:pPr>
        <w:spacing w:after="0" w:line="240" w:lineRule="auto"/>
      </w:pPr>
      <w:r>
        <w:separator/>
      </w:r>
    </w:p>
  </w:endnote>
  <w:endnote w:type="continuationSeparator" w:id="0">
    <w:p w14:paraId="421FEF5D" w14:textId="77777777" w:rsidR="00325899" w:rsidRDefault="00325899" w:rsidP="00EF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AD1B" w14:textId="77777777" w:rsidR="00325899" w:rsidRDefault="00325899" w:rsidP="00EF0F86">
      <w:pPr>
        <w:spacing w:after="0" w:line="240" w:lineRule="auto"/>
      </w:pPr>
      <w:r>
        <w:separator/>
      </w:r>
    </w:p>
  </w:footnote>
  <w:footnote w:type="continuationSeparator" w:id="0">
    <w:p w14:paraId="156A301B" w14:textId="77777777" w:rsidR="00325899" w:rsidRDefault="00325899" w:rsidP="00EF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E097" w14:textId="06414612" w:rsidR="00EF0F86" w:rsidRPr="0011420D" w:rsidRDefault="00C21BFC" w:rsidP="00EF0F86">
    <w:pPr>
      <w:pStyle w:val="Header"/>
      <w:tabs>
        <w:tab w:val="clear" w:pos="4536"/>
        <w:tab w:val="clear" w:pos="9072"/>
        <w:tab w:val="left" w:pos="4140"/>
      </w:tabs>
      <w:rPr>
        <w:rFonts w:ascii="Proxima Nova" w:hAnsi="Proxima Nova"/>
        <w:sz w:val="24"/>
        <w:szCs w:val="24"/>
      </w:rPr>
    </w:pPr>
    <w:r w:rsidRPr="0011420D">
      <w:rPr>
        <w:rFonts w:ascii="Proxima Nova" w:hAnsi="Proxima Nova"/>
        <w:noProof/>
        <w:color w:val="A6A6A6" w:themeColor="background1" w:themeShade="A6"/>
        <w:sz w:val="24"/>
        <w:szCs w:val="24"/>
      </w:rPr>
      <w:drawing>
        <wp:anchor distT="0" distB="0" distL="114300" distR="114300" simplePos="0" relativeHeight="251658240" behindDoc="0" locked="0" layoutInCell="1" allowOverlap="1" wp14:anchorId="244ED662" wp14:editId="7925206B">
          <wp:simplePos x="0" y="0"/>
          <wp:positionH relativeFrom="margin">
            <wp:posOffset>4419600</wp:posOffset>
          </wp:positionH>
          <wp:positionV relativeFrom="margin">
            <wp:posOffset>-809625</wp:posOffset>
          </wp:positionV>
          <wp:extent cx="2313940" cy="714375"/>
          <wp:effectExtent l="0" t="0" r="0" b="9525"/>
          <wp:wrapSquare wrapText="bothSides"/>
          <wp:docPr id="497661861" name="Picture 49766186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426" b="28539"/>
                  <a:stretch/>
                </pic:blipFill>
                <pic:spPr bwMode="auto">
                  <a:xfrm>
                    <a:off x="0" y="0"/>
                    <a:ext cx="231394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0F86" w:rsidRPr="0011420D">
      <w:rPr>
        <w:rFonts w:ascii="Proxima Nova" w:hAnsi="Proxima Nova"/>
        <w:color w:val="A6A6A6" w:themeColor="background1" w:themeShade="A6"/>
        <w:sz w:val="24"/>
        <w:szCs w:val="24"/>
      </w:rPr>
      <w:t>TISKOVÁ ZPRÁV</w:t>
    </w:r>
    <w:r w:rsidR="00416B13">
      <w:rPr>
        <w:rFonts w:ascii="Proxima Nova" w:hAnsi="Proxima Nova"/>
        <w:color w:val="A6A6A6" w:themeColor="background1" w:themeShade="A6"/>
        <w:sz w:val="24"/>
        <w:szCs w:val="24"/>
      </w:rPr>
      <w:t>A</w:t>
    </w:r>
    <w:r w:rsidR="00EF0F86" w:rsidRPr="0011420D">
      <w:rPr>
        <w:rFonts w:ascii="Proxima Nova" w:hAnsi="Proxima Nova"/>
        <w:sz w:val="24"/>
        <w:szCs w:val="24"/>
      </w:rPr>
      <w:tab/>
    </w:r>
  </w:p>
  <w:p w14:paraId="7BA027EB" w14:textId="218EC400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  <w:p w14:paraId="09CD9991" w14:textId="38E74CD4" w:rsidR="00EF0F86" w:rsidRDefault="00EF0F86" w:rsidP="00EF0F86">
    <w:pPr>
      <w:pStyle w:val="Header"/>
      <w:tabs>
        <w:tab w:val="clear" w:pos="4536"/>
        <w:tab w:val="clear" w:pos="9072"/>
        <w:tab w:val="left" w:pos="41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3696"/>
    <w:multiLevelType w:val="multilevel"/>
    <w:tmpl w:val="89365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094871"/>
    <w:multiLevelType w:val="hybridMultilevel"/>
    <w:tmpl w:val="A65CBC98"/>
    <w:lvl w:ilvl="0" w:tplc="FA04235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1B7262"/>
    <w:multiLevelType w:val="hybridMultilevel"/>
    <w:tmpl w:val="F50A06F8"/>
    <w:lvl w:ilvl="0" w:tplc="9A288FE4">
      <w:start w:val="1"/>
      <w:numFmt w:val="decimal"/>
      <w:lvlText w:val="%1."/>
      <w:lvlJc w:val="left"/>
      <w:pPr>
        <w:ind w:left="1440" w:hanging="360"/>
      </w:pPr>
    </w:lvl>
    <w:lvl w:ilvl="1" w:tplc="B386B1DC">
      <w:start w:val="1"/>
      <w:numFmt w:val="decimal"/>
      <w:lvlText w:val="%2."/>
      <w:lvlJc w:val="left"/>
      <w:pPr>
        <w:ind w:left="1440" w:hanging="360"/>
      </w:pPr>
    </w:lvl>
    <w:lvl w:ilvl="2" w:tplc="E82A4F04">
      <w:start w:val="1"/>
      <w:numFmt w:val="decimal"/>
      <w:lvlText w:val="%3."/>
      <w:lvlJc w:val="left"/>
      <w:pPr>
        <w:ind w:left="1440" w:hanging="360"/>
      </w:pPr>
    </w:lvl>
    <w:lvl w:ilvl="3" w:tplc="A532FC0C">
      <w:start w:val="1"/>
      <w:numFmt w:val="decimal"/>
      <w:lvlText w:val="%4."/>
      <w:lvlJc w:val="left"/>
      <w:pPr>
        <w:ind w:left="1440" w:hanging="360"/>
      </w:pPr>
    </w:lvl>
    <w:lvl w:ilvl="4" w:tplc="E2A455D8">
      <w:start w:val="1"/>
      <w:numFmt w:val="decimal"/>
      <w:lvlText w:val="%5."/>
      <w:lvlJc w:val="left"/>
      <w:pPr>
        <w:ind w:left="1440" w:hanging="360"/>
      </w:pPr>
    </w:lvl>
    <w:lvl w:ilvl="5" w:tplc="AAEA64AC">
      <w:start w:val="1"/>
      <w:numFmt w:val="decimal"/>
      <w:lvlText w:val="%6."/>
      <w:lvlJc w:val="left"/>
      <w:pPr>
        <w:ind w:left="1440" w:hanging="360"/>
      </w:pPr>
    </w:lvl>
    <w:lvl w:ilvl="6" w:tplc="86D4D756">
      <w:start w:val="1"/>
      <w:numFmt w:val="decimal"/>
      <w:lvlText w:val="%7."/>
      <w:lvlJc w:val="left"/>
      <w:pPr>
        <w:ind w:left="1440" w:hanging="360"/>
      </w:pPr>
    </w:lvl>
    <w:lvl w:ilvl="7" w:tplc="801C1218">
      <w:start w:val="1"/>
      <w:numFmt w:val="decimal"/>
      <w:lvlText w:val="%8."/>
      <w:lvlJc w:val="left"/>
      <w:pPr>
        <w:ind w:left="1440" w:hanging="360"/>
      </w:pPr>
    </w:lvl>
    <w:lvl w:ilvl="8" w:tplc="900821F2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6C1706AF"/>
    <w:multiLevelType w:val="hybridMultilevel"/>
    <w:tmpl w:val="0D167E86"/>
    <w:lvl w:ilvl="0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A04B5"/>
    <w:multiLevelType w:val="hybridMultilevel"/>
    <w:tmpl w:val="A97C81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A0423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7868383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536521">
    <w:abstractNumId w:val="3"/>
  </w:num>
  <w:num w:numId="3" w16cid:durableId="834302420">
    <w:abstractNumId w:val="3"/>
  </w:num>
  <w:num w:numId="4" w16cid:durableId="523983600">
    <w:abstractNumId w:val="4"/>
  </w:num>
  <w:num w:numId="5" w16cid:durableId="1181236278">
    <w:abstractNumId w:val="1"/>
  </w:num>
  <w:num w:numId="6" w16cid:durableId="1242834077">
    <w:abstractNumId w:val="0"/>
  </w:num>
  <w:num w:numId="7" w16cid:durableId="1331908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86"/>
    <w:rsid w:val="00026A3A"/>
    <w:rsid w:val="000333F8"/>
    <w:rsid w:val="0005479B"/>
    <w:rsid w:val="000621A1"/>
    <w:rsid w:val="000634F9"/>
    <w:rsid w:val="000679A8"/>
    <w:rsid w:val="00072C18"/>
    <w:rsid w:val="0007304B"/>
    <w:rsid w:val="00080F00"/>
    <w:rsid w:val="000A5ED6"/>
    <w:rsid w:val="000A633A"/>
    <w:rsid w:val="000D2B7A"/>
    <w:rsid w:val="000F4FED"/>
    <w:rsid w:val="0011420D"/>
    <w:rsid w:val="00114305"/>
    <w:rsid w:val="0012067D"/>
    <w:rsid w:val="0014295B"/>
    <w:rsid w:val="001A1225"/>
    <w:rsid w:val="001B0882"/>
    <w:rsid w:val="001C1C29"/>
    <w:rsid w:val="001F64A7"/>
    <w:rsid w:val="0020034C"/>
    <w:rsid w:val="0020227B"/>
    <w:rsid w:val="00217D83"/>
    <w:rsid w:val="00226493"/>
    <w:rsid w:val="0024522E"/>
    <w:rsid w:val="00247E0B"/>
    <w:rsid w:val="00254331"/>
    <w:rsid w:val="002A5AF6"/>
    <w:rsid w:val="002B5529"/>
    <w:rsid w:val="002C2FF8"/>
    <w:rsid w:val="002C6940"/>
    <w:rsid w:val="002E0902"/>
    <w:rsid w:val="00325899"/>
    <w:rsid w:val="00332044"/>
    <w:rsid w:val="00346398"/>
    <w:rsid w:val="003510C6"/>
    <w:rsid w:val="003601E3"/>
    <w:rsid w:val="003742CB"/>
    <w:rsid w:val="003A0BE5"/>
    <w:rsid w:val="003A4BF2"/>
    <w:rsid w:val="003A56CF"/>
    <w:rsid w:val="003A6B71"/>
    <w:rsid w:val="003B144B"/>
    <w:rsid w:val="003B56B2"/>
    <w:rsid w:val="003C06A1"/>
    <w:rsid w:val="003D4D22"/>
    <w:rsid w:val="003D5A08"/>
    <w:rsid w:val="003E475C"/>
    <w:rsid w:val="003F6FD6"/>
    <w:rsid w:val="00407546"/>
    <w:rsid w:val="004077C0"/>
    <w:rsid w:val="00416B13"/>
    <w:rsid w:val="004247E2"/>
    <w:rsid w:val="004376F0"/>
    <w:rsid w:val="00440869"/>
    <w:rsid w:val="00463094"/>
    <w:rsid w:val="00466473"/>
    <w:rsid w:val="00471D5A"/>
    <w:rsid w:val="00492EDD"/>
    <w:rsid w:val="004B035E"/>
    <w:rsid w:val="004B24A2"/>
    <w:rsid w:val="004F36DB"/>
    <w:rsid w:val="00516D76"/>
    <w:rsid w:val="00523ECB"/>
    <w:rsid w:val="005246C3"/>
    <w:rsid w:val="0054308D"/>
    <w:rsid w:val="005518D4"/>
    <w:rsid w:val="00572CD3"/>
    <w:rsid w:val="00574281"/>
    <w:rsid w:val="00580FF6"/>
    <w:rsid w:val="00596088"/>
    <w:rsid w:val="005C755E"/>
    <w:rsid w:val="005D0F28"/>
    <w:rsid w:val="005D4AC2"/>
    <w:rsid w:val="005D4F1D"/>
    <w:rsid w:val="005E4616"/>
    <w:rsid w:val="005F239F"/>
    <w:rsid w:val="00616536"/>
    <w:rsid w:val="00627327"/>
    <w:rsid w:val="00640102"/>
    <w:rsid w:val="00650566"/>
    <w:rsid w:val="00694359"/>
    <w:rsid w:val="00695A46"/>
    <w:rsid w:val="006C4158"/>
    <w:rsid w:val="006F26E6"/>
    <w:rsid w:val="006F3B13"/>
    <w:rsid w:val="00700257"/>
    <w:rsid w:val="0072367C"/>
    <w:rsid w:val="00730E8E"/>
    <w:rsid w:val="007361AB"/>
    <w:rsid w:val="007472FA"/>
    <w:rsid w:val="00770AE6"/>
    <w:rsid w:val="007A211D"/>
    <w:rsid w:val="007C2B2D"/>
    <w:rsid w:val="007D7C07"/>
    <w:rsid w:val="007F0412"/>
    <w:rsid w:val="00806B4E"/>
    <w:rsid w:val="008370C6"/>
    <w:rsid w:val="00860412"/>
    <w:rsid w:val="00881146"/>
    <w:rsid w:val="00893A4F"/>
    <w:rsid w:val="00896C62"/>
    <w:rsid w:val="0092458A"/>
    <w:rsid w:val="00941786"/>
    <w:rsid w:val="00944172"/>
    <w:rsid w:val="0095193F"/>
    <w:rsid w:val="0095199B"/>
    <w:rsid w:val="009552EE"/>
    <w:rsid w:val="009762CD"/>
    <w:rsid w:val="00976A05"/>
    <w:rsid w:val="00976DE3"/>
    <w:rsid w:val="009836C6"/>
    <w:rsid w:val="009A2F12"/>
    <w:rsid w:val="009B512B"/>
    <w:rsid w:val="009C1D19"/>
    <w:rsid w:val="009F0701"/>
    <w:rsid w:val="009F2FC2"/>
    <w:rsid w:val="00A06367"/>
    <w:rsid w:val="00A06648"/>
    <w:rsid w:val="00A206B1"/>
    <w:rsid w:val="00A44A59"/>
    <w:rsid w:val="00A638D7"/>
    <w:rsid w:val="00A8609F"/>
    <w:rsid w:val="00AB173B"/>
    <w:rsid w:val="00AC3A44"/>
    <w:rsid w:val="00AC41BE"/>
    <w:rsid w:val="00AD24F8"/>
    <w:rsid w:val="00AE2DF4"/>
    <w:rsid w:val="00AF1924"/>
    <w:rsid w:val="00AF590E"/>
    <w:rsid w:val="00B23440"/>
    <w:rsid w:val="00B264D2"/>
    <w:rsid w:val="00B27D87"/>
    <w:rsid w:val="00B32F31"/>
    <w:rsid w:val="00B35E00"/>
    <w:rsid w:val="00B7493F"/>
    <w:rsid w:val="00B84E72"/>
    <w:rsid w:val="00B857E5"/>
    <w:rsid w:val="00BD4990"/>
    <w:rsid w:val="00BD4EFB"/>
    <w:rsid w:val="00BE02C8"/>
    <w:rsid w:val="00BE4EE6"/>
    <w:rsid w:val="00C0125C"/>
    <w:rsid w:val="00C05825"/>
    <w:rsid w:val="00C133EE"/>
    <w:rsid w:val="00C21BFC"/>
    <w:rsid w:val="00C27A12"/>
    <w:rsid w:val="00C41C60"/>
    <w:rsid w:val="00C4277A"/>
    <w:rsid w:val="00C82453"/>
    <w:rsid w:val="00CE4D71"/>
    <w:rsid w:val="00CF5D63"/>
    <w:rsid w:val="00D034C8"/>
    <w:rsid w:val="00D051E2"/>
    <w:rsid w:val="00D54EAD"/>
    <w:rsid w:val="00D7015E"/>
    <w:rsid w:val="00D937EC"/>
    <w:rsid w:val="00D94591"/>
    <w:rsid w:val="00DA6CB1"/>
    <w:rsid w:val="00DC4C33"/>
    <w:rsid w:val="00DC6031"/>
    <w:rsid w:val="00DE1E17"/>
    <w:rsid w:val="00E00970"/>
    <w:rsid w:val="00E00B3A"/>
    <w:rsid w:val="00E310C8"/>
    <w:rsid w:val="00E3483A"/>
    <w:rsid w:val="00E34936"/>
    <w:rsid w:val="00E56F91"/>
    <w:rsid w:val="00E8139D"/>
    <w:rsid w:val="00E93FD1"/>
    <w:rsid w:val="00EA0494"/>
    <w:rsid w:val="00EE5578"/>
    <w:rsid w:val="00EF0F86"/>
    <w:rsid w:val="00EF7CCF"/>
    <w:rsid w:val="00F069C5"/>
    <w:rsid w:val="00F21D04"/>
    <w:rsid w:val="00F22BBF"/>
    <w:rsid w:val="00F546B9"/>
    <w:rsid w:val="00F84AA4"/>
    <w:rsid w:val="00F95C98"/>
    <w:rsid w:val="00FA6B54"/>
    <w:rsid w:val="00FE03B0"/>
    <w:rsid w:val="00FE795A"/>
    <w:rsid w:val="04641400"/>
    <w:rsid w:val="05386344"/>
    <w:rsid w:val="0D425A3D"/>
    <w:rsid w:val="0EEFF4B3"/>
    <w:rsid w:val="0F4CE50F"/>
    <w:rsid w:val="0FFFD460"/>
    <w:rsid w:val="10093813"/>
    <w:rsid w:val="1028DC84"/>
    <w:rsid w:val="11990789"/>
    <w:rsid w:val="11C4B769"/>
    <w:rsid w:val="11DF6CC0"/>
    <w:rsid w:val="1226D9AB"/>
    <w:rsid w:val="128EC68A"/>
    <w:rsid w:val="168FA15D"/>
    <w:rsid w:val="1AC5E289"/>
    <w:rsid w:val="1C32BD2A"/>
    <w:rsid w:val="1DAE101B"/>
    <w:rsid w:val="22543B6C"/>
    <w:rsid w:val="26467CAF"/>
    <w:rsid w:val="29ADFB11"/>
    <w:rsid w:val="2A2B4211"/>
    <w:rsid w:val="2A4E3E4D"/>
    <w:rsid w:val="2BC19699"/>
    <w:rsid w:val="2DF3FCBD"/>
    <w:rsid w:val="2FE574EF"/>
    <w:rsid w:val="33291117"/>
    <w:rsid w:val="3411001F"/>
    <w:rsid w:val="34480492"/>
    <w:rsid w:val="34538E32"/>
    <w:rsid w:val="347FC8C9"/>
    <w:rsid w:val="361DEFAC"/>
    <w:rsid w:val="3724C927"/>
    <w:rsid w:val="3A495361"/>
    <w:rsid w:val="3C7CBFA7"/>
    <w:rsid w:val="3FA8B538"/>
    <w:rsid w:val="40B894E5"/>
    <w:rsid w:val="442179CC"/>
    <w:rsid w:val="452C214F"/>
    <w:rsid w:val="45A13CEE"/>
    <w:rsid w:val="470EAE0C"/>
    <w:rsid w:val="48E839A4"/>
    <w:rsid w:val="4E5EF90B"/>
    <w:rsid w:val="53177252"/>
    <w:rsid w:val="585984D5"/>
    <w:rsid w:val="58DDB6F7"/>
    <w:rsid w:val="5C485934"/>
    <w:rsid w:val="5CBD74D3"/>
    <w:rsid w:val="5E72B334"/>
    <w:rsid w:val="6377C078"/>
    <w:rsid w:val="6452056F"/>
    <w:rsid w:val="6622424B"/>
    <w:rsid w:val="67581A0C"/>
    <w:rsid w:val="6D98FC4D"/>
    <w:rsid w:val="6FDFA73B"/>
    <w:rsid w:val="7016CDF3"/>
    <w:rsid w:val="70B40C01"/>
    <w:rsid w:val="72CD0390"/>
    <w:rsid w:val="733A3F14"/>
    <w:rsid w:val="7D0196D0"/>
    <w:rsid w:val="7F2ED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718A8"/>
  <w15:docId w15:val="{3ACE85C6-3AB2-4515-95F5-2DDB1824C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86"/>
  </w:style>
  <w:style w:type="paragraph" w:styleId="Footer">
    <w:name w:val="footer"/>
    <w:basedOn w:val="Normal"/>
    <w:link w:val="FooterChar"/>
    <w:uiPriority w:val="99"/>
    <w:unhideWhenUsed/>
    <w:rsid w:val="00EF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86"/>
  </w:style>
  <w:style w:type="character" w:styleId="Hyperlink">
    <w:name w:val="Hyperlink"/>
    <w:basedOn w:val="DefaultParagraphFont"/>
    <w:uiPriority w:val="99"/>
    <w:unhideWhenUsed/>
    <w:rsid w:val="007A211D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A211D"/>
    <w:pPr>
      <w:spacing w:after="0" w:line="240" w:lineRule="auto"/>
      <w:ind w:left="720"/>
    </w:pPr>
    <w:rPr>
      <w:rFonts w:ascii="Calibri" w:hAnsi="Calibri" w:cs="Calibri"/>
      <w:lang w:eastAsia="cs-CZ"/>
    </w:rPr>
  </w:style>
  <w:style w:type="character" w:styleId="UnresolvedMention">
    <w:name w:val="Unresolved Mention"/>
    <w:basedOn w:val="DefaultParagraphFont"/>
    <w:uiPriority w:val="99"/>
    <w:semiHidden/>
    <w:unhideWhenUsed/>
    <w:rsid w:val="002C69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C694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4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E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E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E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295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B24A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oark-electri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gor@phoenixco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  <SharedWithUsers xmlns="fcaa0a5f-a965-425e-ac0d-0dde5377f612">
      <UserInfo>
        <DisplayName>Magdaléna Marešová | PHOENIXCOM</DisplayName>
        <AccountId>38</AccountId>
        <AccountType/>
      </UserInfo>
      <UserInfo>
        <DisplayName>Igor Walter | PHOENIXCOM</DisplayName>
        <AccountId>46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1" ma:contentTypeDescription="Create a new document." ma:contentTypeScope="" ma:versionID="f092f348fdafc325b9f5b87aebd1c971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70e16da8d2f1b639e091d29b5e7e9737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9C428E-1913-4A09-AF74-0094CE39BA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924FBA-049E-436E-83D0-7B4348C08F15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3.xml><?xml version="1.0" encoding="utf-8"?>
<ds:datastoreItem xmlns:ds="http://schemas.openxmlformats.org/officeDocument/2006/customXml" ds:itemID="{BB96A265-EACB-4A26-9ADF-0328B1A89A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018D40-AB16-46E5-BDAB-43CA82B90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4159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Walter</dc:creator>
  <cp:keywords/>
  <dc:description/>
  <cp:lastModifiedBy>Igor Walter</cp:lastModifiedBy>
  <cp:revision>2</cp:revision>
  <dcterms:created xsi:type="dcterms:W3CDTF">2025-12-04T13:07:00Z</dcterms:created>
  <dcterms:modified xsi:type="dcterms:W3CDTF">2025-12-04T13:07:00Z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