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DDCB" w14:textId="19E1FD08" w:rsidR="00CF24A1" w:rsidRDefault="00CF24A1" w:rsidP="00AF6054">
      <w:pPr>
        <w:jc w:val="center"/>
        <w:rPr>
          <w:rFonts w:ascii="Tahoma" w:eastAsia="Proxima Nova Rg" w:hAnsi="Tahoma" w:cs="Tahoma"/>
          <w:b/>
          <w:bCs/>
          <w:sz w:val="28"/>
          <w:szCs w:val="28"/>
        </w:rPr>
      </w:pPr>
      <w:r>
        <w:rPr>
          <w:rFonts w:ascii="Tahoma" w:eastAsia="Proxima Nova Rg" w:hAnsi="Tahoma" w:cs="Tahoma"/>
          <w:b/>
          <w:bCs/>
          <w:sz w:val="28"/>
          <w:szCs w:val="28"/>
        </w:rPr>
        <w:br/>
      </w:r>
      <w:r w:rsidRPr="00CF24A1">
        <w:rPr>
          <w:rFonts w:ascii="Tahoma" w:eastAsia="Proxima Nova Rg" w:hAnsi="Tahoma" w:cs="Tahoma"/>
          <w:b/>
          <w:bCs/>
          <w:sz w:val="28"/>
          <w:szCs w:val="28"/>
        </w:rPr>
        <w:t xml:space="preserve">OEM, Retail nebo </w:t>
      </w:r>
      <w:proofErr w:type="spellStart"/>
      <w:r w:rsidRPr="00CF24A1">
        <w:rPr>
          <w:rFonts w:ascii="Tahoma" w:eastAsia="Proxima Nova Rg" w:hAnsi="Tahoma" w:cs="Tahoma"/>
          <w:b/>
          <w:bCs/>
          <w:sz w:val="28"/>
          <w:szCs w:val="28"/>
        </w:rPr>
        <w:t>Volume</w:t>
      </w:r>
      <w:proofErr w:type="spellEnd"/>
      <w:r w:rsidRPr="00CF24A1">
        <w:rPr>
          <w:rFonts w:ascii="Tahoma" w:eastAsia="Proxima Nova Rg" w:hAnsi="Tahoma" w:cs="Tahoma"/>
          <w:b/>
          <w:bCs/>
          <w:sz w:val="28"/>
          <w:szCs w:val="28"/>
        </w:rPr>
        <w:t xml:space="preserve">? </w:t>
      </w:r>
    </w:p>
    <w:p w14:paraId="1F77DE5B" w14:textId="1B36F8DF" w:rsidR="00AF6054" w:rsidRPr="00AF6054" w:rsidRDefault="00CF24A1" w:rsidP="00AF6054">
      <w:pPr>
        <w:jc w:val="center"/>
        <w:rPr>
          <w:rFonts w:ascii="Tahoma" w:eastAsia="Proxima Nova Rg" w:hAnsi="Tahoma" w:cs="Tahoma"/>
          <w:sz w:val="28"/>
          <w:szCs w:val="28"/>
        </w:rPr>
      </w:pPr>
      <w:r w:rsidRPr="00CF24A1">
        <w:rPr>
          <w:rFonts w:ascii="Tahoma" w:eastAsia="Proxima Nova Rg" w:hAnsi="Tahoma" w:cs="Tahoma"/>
          <w:b/>
          <w:bCs/>
          <w:sz w:val="28"/>
          <w:szCs w:val="28"/>
        </w:rPr>
        <w:t>Jak vybrat správnou Microsoft licenci pro vaši firmu</w:t>
      </w:r>
    </w:p>
    <w:p w14:paraId="37061111" w14:textId="77777777" w:rsidR="00AF6054" w:rsidRPr="00AF6054" w:rsidRDefault="00AF6054" w:rsidP="00AF6054">
      <w:pPr>
        <w:jc w:val="both"/>
        <w:rPr>
          <w:rFonts w:ascii="Tahoma" w:eastAsia="Proxima Nova Rg" w:hAnsi="Tahoma" w:cs="Tahoma"/>
        </w:rPr>
      </w:pPr>
    </w:p>
    <w:p w14:paraId="0E00332B" w14:textId="79436C59" w:rsidR="00FD7C70" w:rsidRDefault="00AF6054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r w:rsidRPr="004123FC">
        <w:rPr>
          <w:rFonts w:ascii="Tahoma" w:eastAsia="Proxima Nova Rg" w:hAnsi="Tahoma" w:cs="Tahoma"/>
          <w:bCs/>
          <w:sz w:val="22"/>
          <w:szCs w:val="22"/>
        </w:rPr>
        <w:t xml:space="preserve">Praha, </w:t>
      </w:r>
      <w:r w:rsidR="004123FC" w:rsidRPr="004123FC">
        <w:rPr>
          <w:rFonts w:ascii="Tahoma" w:eastAsia="Proxima Nova Rg" w:hAnsi="Tahoma" w:cs="Tahoma"/>
          <w:bCs/>
          <w:sz w:val="22"/>
          <w:szCs w:val="22"/>
        </w:rPr>
        <w:t>15</w:t>
      </w:r>
      <w:r w:rsidRPr="004123FC">
        <w:rPr>
          <w:rFonts w:ascii="Tahoma" w:eastAsia="Proxima Nova Rg" w:hAnsi="Tahoma" w:cs="Tahoma"/>
          <w:bCs/>
          <w:sz w:val="22"/>
          <w:szCs w:val="22"/>
        </w:rPr>
        <w:t xml:space="preserve">. </w:t>
      </w:r>
      <w:r w:rsidR="00CF24A1" w:rsidRPr="004123FC">
        <w:rPr>
          <w:rFonts w:ascii="Tahoma" w:eastAsia="Proxima Nova Rg" w:hAnsi="Tahoma" w:cs="Tahoma"/>
          <w:bCs/>
          <w:sz w:val="22"/>
          <w:szCs w:val="22"/>
        </w:rPr>
        <w:t xml:space="preserve">května </w:t>
      </w:r>
      <w:r w:rsidRPr="004123FC">
        <w:rPr>
          <w:rFonts w:ascii="Tahoma" w:eastAsia="Proxima Nova Rg" w:hAnsi="Tahoma" w:cs="Tahoma"/>
          <w:bCs/>
          <w:sz w:val="22"/>
          <w:szCs w:val="22"/>
        </w:rPr>
        <w:t xml:space="preserve">2025 </w:t>
      </w:r>
      <w:r w:rsidR="00EC5274" w:rsidRPr="004123FC">
        <w:rPr>
          <w:rFonts w:ascii="Tahoma" w:eastAsia="Proxima Nova Rg" w:hAnsi="Tahoma" w:cs="Tahoma"/>
          <w:bCs/>
          <w:sz w:val="22"/>
          <w:szCs w:val="22"/>
        </w:rPr>
        <w:t>–</w:t>
      </w:r>
      <w:r w:rsidRPr="004123FC">
        <w:rPr>
          <w:rFonts w:ascii="Tahoma" w:eastAsia="Proxima Nova Rg" w:hAnsi="Tahoma" w:cs="Tahoma"/>
          <w:b/>
          <w:sz w:val="22"/>
          <w:szCs w:val="22"/>
        </w:rPr>
        <w:t xml:space="preserve"> </w:t>
      </w:r>
      <w:r w:rsidR="00CF24A1" w:rsidRPr="004123FC">
        <w:rPr>
          <w:rFonts w:ascii="Tahoma" w:eastAsia="Proxima Nova Rg" w:hAnsi="Tahoma" w:cs="Tahoma"/>
          <w:b/>
          <w:bCs/>
          <w:sz w:val="22"/>
          <w:szCs w:val="22"/>
        </w:rPr>
        <w:t xml:space="preserve">Licencování softwaru Microsoft může být pro firmy výzvou. Výběr správného modelu – OEM, Retail (FPP) nebo </w:t>
      </w:r>
      <w:proofErr w:type="spellStart"/>
      <w:r w:rsidR="00CF24A1" w:rsidRPr="004123FC">
        <w:rPr>
          <w:rFonts w:ascii="Tahoma" w:eastAsia="Proxima Nova Rg" w:hAnsi="Tahoma" w:cs="Tahoma"/>
          <w:b/>
          <w:bCs/>
          <w:sz w:val="22"/>
          <w:szCs w:val="22"/>
        </w:rPr>
        <w:t>Volume</w:t>
      </w:r>
      <w:proofErr w:type="spellEnd"/>
      <w:r w:rsidR="00CF24A1" w:rsidRPr="004123FC">
        <w:rPr>
          <w:rFonts w:ascii="Tahoma" w:eastAsia="Proxima Nova Rg" w:hAnsi="Tahoma" w:cs="Tahoma"/>
          <w:b/>
          <w:bCs/>
          <w:sz w:val="22"/>
          <w:szCs w:val="22"/>
        </w:rPr>
        <w:t xml:space="preserve"> </w:t>
      </w:r>
      <w:proofErr w:type="spellStart"/>
      <w:r w:rsidR="00CF24A1" w:rsidRPr="004123FC">
        <w:rPr>
          <w:rFonts w:ascii="Tahoma" w:eastAsia="Proxima Nova Rg" w:hAnsi="Tahoma" w:cs="Tahoma"/>
          <w:b/>
          <w:bCs/>
          <w:sz w:val="22"/>
          <w:szCs w:val="22"/>
        </w:rPr>
        <w:t>Licensing</w:t>
      </w:r>
      <w:proofErr w:type="spellEnd"/>
      <w:r w:rsidR="00CF24A1" w:rsidRPr="004123FC">
        <w:rPr>
          <w:rFonts w:ascii="Tahoma" w:eastAsia="Proxima Nova Rg" w:hAnsi="Tahoma" w:cs="Tahoma"/>
          <w:b/>
          <w:bCs/>
          <w:sz w:val="22"/>
          <w:szCs w:val="22"/>
        </w:rPr>
        <w:t xml:space="preserve"> – ovlivňuje nejen aktuální náklady, ale i dlouhodobou flexibilitu, správu a soulad s předpisy. Mnoho organizací volí OEM nebo Retail licence, aniž by si uvědomovaly jejich omezení, což může vést k vyšším provozním nákladům a komplikacím při auditech</w:t>
      </w:r>
      <w:r w:rsidR="00CF24A1" w:rsidRPr="00CF24A1">
        <w:rPr>
          <w:rFonts w:ascii="Tahoma" w:eastAsia="Proxima Nova Rg" w:hAnsi="Tahoma" w:cs="Tahoma"/>
          <w:b/>
          <w:bCs/>
          <w:sz w:val="22"/>
          <w:szCs w:val="22"/>
        </w:rPr>
        <w:t>.</w:t>
      </w:r>
    </w:p>
    <w:p w14:paraId="7760C320" w14:textId="77777777" w:rsidR="00FD7C70" w:rsidRDefault="00FD7C70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</w:p>
    <w:p w14:paraId="0BEA2366" w14:textId="60537AE6" w:rsidR="00CF24A1" w:rsidRPr="00FD7C70" w:rsidRDefault="00184062" w:rsidP="00CF24A1">
      <w:pPr>
        <w:rPr>
          <w:rFonts w:ascii="Tahoma" w:eastAsia="Proxima Nova Rg" w:hAnsi="Tahoma" w:cs="Tahoma"/>
          <w:sz w:val="22"/>
          <w:szCs w:val="22"/>
        </w:rPr>
      </w:pPr>
      <w:r>
        <w:rPr>
          <w:rFonts w:ascii="Tahoma" w:eastAsia="Proxima Nova Rg" w:hAnsi="Tahoma" w:cs="Tahoma"/>
          <w:sz w:val="22"/>
          <w:szCs w:val="22"/>
        </w:rPr>
        <w:t>Pojďme si blíže představit zmiňované licenční modely a u</w:t>
      </w:r>
      <w:r w:rsidR="00CF24A1" w:rsidRPr="00CF24A1">
        <w:rPr>
          <w:rFonts w:ascii="Tahoma" w:eastAsia="Proxima Nova Rg" w:hAnsi="Tahoma" w:cs="Tahoma"/>
          <w:sz w:val="22"/>
          <w:szCs w:val="22"/>
        </w:rPr>
        <w:t>k</w:t>
      </w:r>
      <w:r>
        <w:rPr>
          <w:rFonts w:ascii="Tahoma" w:eastAsia="Proxima Nova Rg" w:hAnsi="Tahoma" w:cs="Tahoma"/>
          <w:sz w:val="22"/>
          <w:szCs w:val="22"/>
        </w:rPr>
        <w:t>ázat</w:t>
      </w:r>
      <w:r w:rsidR="00CF24A1" w:rsidRPr="00CF24A1">
        <w:rPr>
          <w:rFonts w:ascii="Tahoma" w:eastAsia="Proxima Nova Rg" w:hAnsi="Tahoma" w:cs="Tahoma"/>
          <w:sz w:val="22"/>
          <w:szCs w:val="22"/>
        </w:rPr>
        <w:t>, jak mohou firmy optimalizovat své licenční strategie</w:t>
      </w:r>
      <w:r>
        <w:rPr>
          <w:rFonts w:ascii="Tahoma" w:eastAsia="Proxima Nova Rg" w:hAnsi="Tahoma" w:cs="Tahoma"/>
          <w:sz w:val="22"/>
          <w:szCs w:val="22"/>
        </w:rPr>
        <w:t>:</w:t>
      </w:r>
    </w:p>
    <w:p w14:paraId="64FF5B76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</w:p>
    <w:p w14:paraId="305CB69B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r w:rsidRPr="00CF24A1">
        <w:rPr>
          <w:rFonts w:ascii="Tahoma" w:eastAsia="Proxima Nova Rg" w:hAnsi="Tahoma" w:cs="Tahoma"/>
          <w:b/>
          <w:bCs/>
          <w:sz w:val="22"/>
          <w:szCs w:val="22"/>
        </w:rPr>
        <w:t>OEM licence: Levné, ale nepružné</w:t>
      </w:r>
    </w:p>
    <w:p w14:paraId="6FD614C6" w14:textId="3364BA40" w:rsid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>OEM licence (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Original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Equipment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Manufacturer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) jsou často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předinstalovány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na nových zařízeních, díky čemuž působí jako cenově dostupné řešení. Jejich hlavní nevýhodou je však vazba na konkrétní hardware – nelze je převést na jiné zařízení a podporu zajišťuje výrobce, nikoli Microsoft. Ve větších firmách to vede k roztříštěné správě licencí, což zvyšuje riziko nesouladu s předpisy a může přinést až o 20–30 % vyšší provozní náklady, zejména při auditech nebo migracích.</w:t>
      </w:r>
    </w:p>
    <w:p w14:paraId="6445079C" w14:textId="77777777" w:rsidR="00CF24A1" w:rsidRP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</w:p>
    <w:p w14:paraId="02E7E02D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r w:rsidRPr="00CF24A1">
        <w:rPr>
          <w:rFonts w:ascii="Tahoma" w:eastAsia="Proxima Nova Rg" w:hAnsi="Tahoma" w:cs="Tahoma"/>
          <w:b/>
          <w:bCs/>
          <w:sz w:val="22"/>
          <w:szCs w:val="22"/>
        </w:rPr>
        <w:t>Retail licence: Flexibilní, ale ne pro velké firmy</w:t>
      </w:r>
    </w:p>
    <w:p w14:paraId="148FD5B9" w14:textId="77777777" w:rsid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 xml:space="preserve">Retail licence, známé jako FPP (Full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Packaged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Product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>) nebo elektronické ESD, nabízejí větší flexibilitu, protože je lze přenášet mezi zařízeními a podporu poskytuje přímo Microsoft. Nejsou však vhodné pro centralizovanou správu. Jednotlivá aktivace licencí je administrativně náročná – firmy s více než 100 zařízeními mohou strávit správou až 60 hodin ročně navíc. Navíc jsou tyto licence dražší než multilicenční programy, což je činí méně atraktivními pro organizace s větším počtem uživatelů.</w:t>
      </w:r>
    </w:p>
    <w:p w14:paraId="4311CF71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</w:p>
    <w:p w14:paraId="6D06D699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proofErr w:type="spellStart"/>
      <w:r w:rsidRPr="00CF24A1">
        <w:rPr>
          <w:rFonts w:ascii="Tahoma" w:eastAsia="Proxima Nova Rg" w:hAnsi="Tahoma" w:cs="Tahoma"/>
          <w:b/>
          <w:bCs/>
          <w:sz w:val="22"/>
          <w:szCs w:val="22"/>
        </w:rPr>
        <w:t>Volume</w:t>
      </w:r>
      <w:proofErr w:type="spellEnd"/>
      <w:r w:rsidRPr="00CF24A1">
        <w:rPr>
          <w:rFonts w:ascii="Tahoma" w:eastAsia="Proxima Nova Rg" w:hAnsi="Tahoma" w:cs="Tahoma"/>
          <w:b/>
          <w:bCs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b/>
          <w:bCs/>
          <w:sz w:val="22"/>
          <w:szCs w:val="22"/>
        </w:rPr>
        <w:t>Licensing</w:t>
      </w:r>
      <w:proofErr w:type="spellEnd"/>
      <w:r w:rsidRPr="00CF24A1">
        <w:rPr>
          <w:rFonts w:ascii="Tahoma" w:eastAsia="Proxima Nova Rg" w:hAnsi="Tahoma" w:cs="Tahoma"/>
          <w:b/>
          <w:bCs/>
          <w:sz w:val="22"/>
          <w:szCs w:val="22"/>
        </w:rPr>
        <w:t>: Efektivita a kontrola</w:t>
      </w:r>
    </w:p>
    <w:p w14:paraId="3A63ABDC" w14:textId="77777777" w:rsidR="00CF24A1" w:rsidRP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>Multilicenční programy (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Volume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Licensing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) překonávají omezení OEM a Retail licencí. Umožňují hromadný nákup, centralizovanou správu a snadnou realokaci licencí mezi zařízeními či týmy. Firmy tak lépe kontrolují nasazení softwaru, aktualizace a dodržování předpisů. Podle společnosti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Forscope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mohou organizace díky odbornému poradenství ušetřit na licenčních nákladech, snížit administrativní zátěž a zlepšit efektivitu správy IT.</w:t>
      </w:r>
    </w:p>
    <w:p w14:paraId="1CC4EF91" w14:textId="77B32B52" w:rsidR="00CF24A1" w:rsidRP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 xml:space="preserve">Příkladem je středoevropská logistická firma s více než 500 zaměstnanci, která díky partnerství s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Forscope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snížila náklady na software o 50 %, ušetřila stovky tisíc eur a hladce přešla na nový systém bez přerušení provozu. Podobně místní samospráva v Budapešti ušetřila 73 % nákladů nákupem použitých licencí, což přineslo úsporu přes 100</w:t>
      </w:r>
      <w:r w:rsidR="004123FC">
        <w:rPr>
          <w:rFonts w:ascii="Tahoma" w:eastAsia="Proxima Nova Rg" w:hAnsi="Tahoma" w:cs="Tahoma"/>
          <w:sz w:val="22"/>
          <w:szCs w:val="22"/>
        </w:rPr>
        <w:t> </w:t>
      </w:r>
      <w:r w:rsidRPr="00CF24A1">
        <w:rPr>
          <w:rFonts w:ascii="Tahoma" w:eastAsia="Proxima Nova Rg" w:hAnsi="Tahoma" w:cs="Tahoma"/>
          <w:sz w:val="22"/>
          <w:szCs w:val="22"/>
        </w:rPr>
        <w:t>000</w:t>
      </w:r>
      <w:r w:rsidR="004123FC">
        <w:rPr>
          <w:rFonts w:ascii="Tahoma" w:eastAsia="Proxima Nova Rg" w:hAnsi="Tahoma" w:cs="Tahoma"/>
          <w:sz w:val="22"/>
          <w:szCs w:val="22"/>
        </w:rPr>
        <w:t xml:space="preserve"> eur</w:t>
      </w:r>
      <w:r w:rsidRPr="00CF24A1">
        <w:rPr>
          <w:rFonts w:ascii="Tahoma" w:eastAsia="Proxima Nova Rg" w:hAnsi="Tahoma" w:cs="Tahoma"/>
          <w:sz w:val="22"/>
          <w:szCs w:val="22"/>
        </w:rPr>
        <w:t>.</w:t>
      </w:r>
    </w:p>
    <w:p w14:paraId="1EBBDFCE" w14:textId="77777777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</w:p>
    <w:p w14:paraId="4A273C95" w14:textId="1D4FF021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r w:rsidRPr="00CF24A1">
        <w:rPr>
          <w:rFonts w:ascii="Tahoma" w:eastAsia="Proxima Nova Rg" w:hAnsi="Tahoma" w:cs="Tahoma"/>
          <w:b/>
          <w:bCs/>
          <w:sz w:val="22"/>
          <w:szCs w:val="22"/>
        </w:rPr>
        <w:t>Výhody spolupráce s odborníky</w:t>
      </w:r>
    </w:p>
    <w:p w14:paraId="2212442B" w14:textId="53EFDD51" w:rsid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 xml:space="preserve">Specializovaní partneři, jako je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Forscope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>, pomáhají firmám orientovat se v licenčních modelech a optimalizovat jejich strategii. S hlubokou znalostí softwarové legislativy a zkušenostmi v devíti zemích tito odborníci identifikují neefekti</w:t>
      </w:r>
      <w:r w:rsidR="004123FC">
        <w:rPr>
          <w:rFonts w:ascii="Tahoma" w:eastAsia="Proxima Nova Rg" w:hAnsi="Tahoma" w:cs="Tahoma"/>
          <w:sz w:val="22"/>
          <w:szCs w:val="22"/>
        </w:rPr>
        <w:t>v</w:t>
      </w:r>
      <w:r w:rsidRPr="00CF24A1">
        <w:rPr>
          <w:rFonts w:ascii="Tahoma" w:eastAsia="Proxima Nova Rg" w:hAnsi="Tahoma" w:cs="Tahoma"/>
          <w:sz w:val="22"/>
          <w:szCs w:val="22"/>
        </w:rPr>
        <w:t>ity, zajišťují soulad s předpisy a připravují firmy na audity. Nabízejí také cenově výhodné použité licence, které mohou přinést až 70% úspory oproti novému softwaru.</w:t>
      </w:r>
      <w:r w:rsidR="004123FC">
        <w:rPr>
          <w:rFonts w:ascii="Tahoma" w:eastAsia="Proxima Nova Rg" w:hAnsi="Tahoma" w:cs="Tahoma"/>
          <w:sz w:val="22"/>
          <w:szCs w:val="22"/>
        </w:rPr>
        <w:t xml:space="preserve"> </w:t>
      </w:r>
      <w:r w:rsidRPr="00CF24A1">
        <w:rPr>
          <w:rFonts w:ascii="Tahoma" w:eastAsia="Proxima Nova Rg" w:hAnsi="Tahoma" w:cs="Tahoma"/>
          <w:i/>
          <w:iCs/>
          <w:sz w:val="22"/>
          <w:szCs w:val="22"/>
        </w:rPr>
        <w:t>„Licencování se mění z nutnosti na strategický nástroj digitální transformace</w:t>
      </w:r>
      <w:r w:rsidR="00FD7C70">
        <w:rPr>
          <w:rFonts w:ascii="Tahoma" w:eastAsia="Proxima Nova Rg" w:hAnsi="Tahoma" w:cs="Tahoma"/>
          <w:i/>
          <w:iCs/>
          <w:sz w:val="22"/>
          <w:szCs w:val="22"/>
        </w:rPr>
        <w:t>.</w:t>
      </w:r>
      <w:r w:rsidR="00FD7C70" w:rsidRPr="00FD7C70">
        <w:rPr>
          <w:rFonts w:ascii="Tahoma" w:eastAsia="Proxima Nova Rg" w:hAnsi="Tahoma" w:cs="Tahoma"/>
          <w:sz w:val="22"/>
          <w:szCs w:val="22"/>
        </w:rPr>
        <w:t xml:space="preserve"> </w:t>
      </w:r>
      <w:r w:rsidR="00FD7C70" w:rsidRPr="00CF24A1">
        <w:rPr>
          <w:rFonts w:ascii="Tahoma" w:eastAsia="Proxima Nova Rg" w:hAnsi="Tahoma" w:cs="Tahoma"/>
          <w:sz w:val="22"/>
          <w:szCs w:val="22"/>
        </w:rPr>
        <w:t>Ve střední a východní Evropě firmy ve výrobě, logistice či veřejném sektoru stále častěji volí chytřejší licenční modely, aby zvýšily efektivitu a zajistily soulad s</w:t>
      </w:r>
      <w:r w:rsidR="004123FC">
        <w:rPr>
          <w:rFonts w:ascii="Tahoma" w:eastAsia="Proxima Nova Rg" w:hAnsi="Tahoma" w:cs="Tahoma"/>
          <w:sz w:val="22"/>
          <w:szCs w:val="22"/>
        </w:rPr>
        <w:t> </w:t>
      </w:r>
      <w:r w:rsidR="00FD7C70" w:rsidRPr="00CF24A1">
        <w:rPr>
          <w:rFonts w:ascii="Tahoma" w:eastAsia="Proxima Nova Rg" w:hAnsi="Tahoma" w:cs="Tahoma"/>
          <w:sz w:val="22"/>
          <w:szCs w:val="22"/>
        </w:rPr>
        <w:t>předpisy</w:t>
      </w:r>
      <w:r w:rsidR="004123FC">
        <w:rPr>
          <w:rFonts w:ascii="Tahoma" w:eastAsia="Proxima Nova Rg" w:hAnsi="Tahoma" w:cs="Tahoma"/>
          <w:sz w:val="22"/>
          <w:szCs w:val="22"/>
        </w:rPr>
        <w:t>,</w:t>
      </w:r>
      <w:r w:rsidR="00FD7C70" w:rsidRPr="00CF24A1">
        <w:rPr>
          <w:rFonts w:ascii="Tahoma" w:eastAsia="Proxima Nova Rg" w:hAnsi="Tahoma" w:cs="Tahoma"/>
          <w:sz w:val="22"/>
          <w:szCs w:val="22"/>
        </w:rPr>
        <w:t>“</w:t>
      </w:r>
      <w:r w:rsidR="00FD7C70">
        <w:rPr>
          <w:rFonts w:ascii="Tahoma" w:eastAsia="Proxima Nova Rg" w:hAnsi="Tahoma" w:cs="Tahoma"/>
          <w:sz w:val="22"/>
          <w:szCs w:val="22"/>
        </w:rPr>
        <w:t xml:space="preserve"> </w:t>
      </w:r>
      <w:r w:rsidRPr="00CF24A1">
        <w:rPr>
          <w:rFonts w:ascii="Tahoma" w:eastAsia="Proxima Nova Rg" w:hAnsi="Tahoma" w:cs="Tahoma"/>
          <w:sz w:val="22"/>
          <w:szCs w:val="22"/>
        </w:rPr>
        <w:t xml:space="preserve">říká </w:t>
      </w:r>
      <w:r w:rsidRPr="00CF24A1">
        <w:rPr>
          <w:rFonts w:ascii="Tahoma" w:eastAsia="Proxima Nova Rg" w:hAnsi="Tahoma" w:cs="Tahoma"/>
          <w:b/>
          <w:bCs/>
          <w:sz w:val="22"/>
          <w:szCs w:val="22"/>
        </w:rPr>
        <w:t xml:space="preserve">Jakub Šulák, </w:t>
      </w:r>
      <w:r w:rsidRPr="00FD7C70">
        <w:rPr>
          <w:rFonts w:ascii="Tahoma" w:eastAsia="Proxima Nova Rg" w:hAnsi="Tahoma" w:cs="Tahoma"/>
          <w:b/>
          <w:bCs/>
          <w:sz w:val="22"/>
          <w:szCs w:val="22"/>
        </w:rPr>
        <w:t xml:space="preserve">zakladatel a </w:t>
      </w:r>
      <w:r w:rsidRPr="00CF24A1">
        <w:rPr>
          <w:rFonts w:ascii="Tahoma" w:eastAsia="Proxima Nova Rg" w:hAnsi="Tahoma" w:cs="Tahoma"/>
          <w:b/>
          <w:bCs/>
          <w:sz w:val="22"/>
          <w:szCs w:val="22"/>
        </w:rPr>
        <w:t xml:space="preserve">generální ředitel </w:t>
      </w:r>
      <w:r w:rsidRPr="00FD7C70">
        <w:rPr>
          <w:rFonts w:ascii="Tahoma" w:eastAsia="Proxima Nova Rg" w:hAnsi="Tahoma" w:cs="Tahoma"/>
          <w:b/>
          <w:bCs/>
          <w:sz w:val="22"/>
          <w:szCs w:val="22"/>
        </w:rPr>
        <w:t xml:space="preserve">české společnosti </w:t>
      </w:r>
      <w:proofErr w:type="spellStart"/>
      <w:r w:rsidRPr="00CF24A1">
        <w:rPr>
          <w:rFonts w:ascii="Tahoma" w:eastAsia="Proxima Nova Rg" w:hAnsi="Tahoma" w:cs="Tahoma"/>
          <w:b/>
          <w:bCs/>
          <w:sz w:val="22"/>
          <w:szCs w:val="22"/>
        </w:rPr>
        <w:t>Forscope</w:t>
      </w:r>
      <w:proofErr w:type="spellEnd"/>
      <w:r>
        <w:rPr>
          <w:rFonts w:ascii="Tahoma" w:eastAsia="Proxima Nova Rg" w:hAnsi="Tahoma" w:cs="Tahoma"/>
          <w:sz w:val="22"/>
          <w:szCs w:val="22"/>
        </w:rPr>
        <w:t>, která</w:t>
      </w:r>
      <w:r w:rsidR="00FD7C70">
        <w:rPr>
          <w:rFonts w:ascii="Tahoma" w:eastAsia="Proxima Nova Rg" w:hAnsi="Tahoma" w:cs="Tahoma"/>
          <w:sz w:val="22"/>
          <w:szCs w:val="22"/>
        </w:rPr>
        <w:t xml:space="preserve"> </w:t>
      </w:r>
      <w:r w:rsidR="00FD7C70" w:rsidRPr="0060579E">
        <w:rPr>
          <w:rFonts w:ascii="Tahoma" w:eastAsia="Proxima Nova Rg" w:hAnsi="Tahoma" w:cs="Tahoma"/>
          <w:sz w:val="22"/>
          <w:szCs w:val="22"/>
        </w:rPr>
        <w:t xml:space="preserve">je </w:t>
      </w:r>
      <w:r w:rsidR="00FD7C70">
        <w:rPr>
          <w:rFonts w:ascii="Tahoma" w:eastAsia="Proxima Nova Rg" w:hAnsi="Tahoma" w:cs="Tahoma"/>
          <w:sz w:val="22"/>
          <w:szCs w:val="22"/>
        </w:rPr>
        <w:t xml:space="preserve">ve zmiňovaném regionu střední a východní Evropy </w:t>
      </w:r>
      <w:r w:rsidR="00FD7C70" w:rsidRPr="0060579E">
        <w:rPr>
          <w:rFonts w:ascii="Tahoma" w:eastAsia="Proxima Nova Rg" w:hAnsi="Tahoma" w:cs="Tahoma"/>
          <w:sz w:val="22"/>
          <w:szCs w:val="22"/>
        </w:rPr>
        <w:t>největším brokerem druhotného softwaru.</w:t>
      </w:r>
    </w:p>
    <w:p w14:paraId="2CA61738" w14:textId="77777777" w:rsidR="00CF24A1" w:rsidRDefault="00CF24A1" w:rsidP="00CF24A1">
      <w:pPr>
        <w:rPr>
          <w:rFonts w:ascii="Tahoma" w:eastAsia="Proxima Nova Rg" w:hAnsi="Tahoma" w:cs="Tahoma"/>
          <w:sz w:val="22"/>
          <w:szCs w:val="22"/>
        </w:rPr>
      </w:pPr>
    </w:p>
    <w:p w14:paraId="12D66EB5" w14:textId="77777777" w:rsidR="004123FC" w:rsidRDefault="004123FC" w:rsidP="00CF24A1">
      <w:pPr>
        <w:rPr>
          <w:rFonts w:ascii="Tahoma" w:eastAsia="Proxima Nova Rg" w:hAnsi="Tahoma" w:cs="Tahoma"/>
          <w:sz w:val="22"/>
          <w:szCs w:val="22"/>
        </w:rPr>
      </w:pPr>
    </w:p>
    <w:p w14:paraId="0E0A0741" w14:textId="77777777" w:rsidR="004123FC" w:rsidRDefault="004123FC" w:rsidP="00CF24A1">
      <w:pPr>
        <w:rPr>
          <w:rFonts w:ascii="Tahoma" w:eastAsia="Proxima Nova Rg" w:hAnsi="Tahoma" w:cs="Tahoma"/>
          <w:sz w:val="22"/>
          <w:szCs w:val="22"/>
        </w:rPr>
      </w:pPr>
    </w:p>
    <w:p w14:paraId="4DF10D16" w14:textId="77777777" w:rsidR="004123FC" w:rsidRDefault="004123FC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</w:p>
    <w:p w14:paraId="31CDDCFF" w14:textId="2AA66EB0" w:rsidR="00CF24A1" w:rsidRPr="00CF24A1" w:rsidRDefault="00CF24A1" w:rsidP="00CF24A1">
      <w:pPr>
        <w:rPr>
          <w:rFonts w:ascii="Tahoma" w:eastAsia="Proxima Nova Rg" w:hAnsi="Tahoma" w:cs="Tahoma"/>
          <w:b/>
          <w:bCs/>
          <w:sz w:val="22"/>
          <w:szCs w:val="22"/>
        </w:rPr>
      </w:pPr>
      <w:r w:rsidRPr="00CF24A1">
        <w:rPr>
          <w:rFonts w:ascii="Tahoma" w:eastAsia="Proxima Nova Rg" w:hAnsi="Tahoma" w:cs="Tahoma"/>
          <w:b/>
          <w:bCs/>
          <w:sz w:val="22"/>
          <w:szCs w:val="22"/>
        </w:rPr>
        <w:t>Klíč k úspěchu: Strategický přístup</w:t>
      </w:r>
    </w:p>
    <w:p w14:paraId="10F90DFF" w14:textId="65013B7E" w:rsidR="00EC5274" w:rsidRDefault="00CF24A1" w:rsidP="00C41D7C">
      <w:pPr>
        <w:rPr>
          <w:rFonts w:ascii="Tahoma" w:eastAsia="Proxima Nova Rg" w:hAnsi="Tahoma" w:cs="Tahoma"/>
          <w:sz w:val="22"/>
          <w:szCs w:val="22"/>
        </w:rPr>
      </w:pPr>
      <w:r w:rsidRPr="00CF24A1">
        <w:rPr>
          <w:rFonts w:ascii="Tahoma" w:eastAsia="Proxima Nova Rg" w:hAnsi="Tahoma" w:cs="Tahoma"/>
          <w:sz w:val="22"/>
          <w:szCs w:val="22"/>
        </w:rPr>
        <w:t xml:space="preserve">Správná licenční strategie není jen o ceně, ale o úspoře času, škálovatelnosti a jistotě při auditech. Ať už jde o OEM, Retail nebo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Volume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 xml:space="preserve"> </w:t>
      </w:r>
      <w:proofErr w:type="spellStart"/>
      <w:r w:rsidRPr="00CF24A1">
        <w:rPr>
          <w:rFonts w:ascii="Tahoma" w:eastAsia="Proxima Nova Rg" w:hAnsi="Tahoma" w:cs="Tahoma"/>
          <w:sz w:val="22"/>
          <w:szCs w:val="22"/>
        </w:rPr>
        <w:t>Licensing</w:t>
      </w:r>
      <w:proofErr w:type="spellEnd"/>
      <w:r w:rsidRPr="00CF24A1">
        <w:rPr>
          <w:rFonts w:ascii="Tahoma" w:eastAsia="Proxima Nova Rg" w:hAnsi="Tahoma" w:cs="Tahoma"/>
          <w:sz w:val="22"/>
          <w:szCs w:val="22"/>
        </w:rPr>
        <w:t>, pochopení jejich rozdílů je prvním krokem</w:t>
      </w:r>
      <w:r w:rsidR="00432899">
        <w:rPr>
          <w:rFonts w:ascii="Tahoma" w:eastAsia="Proxima Nova Rg" w:hAnsi="Tahoma" w:cs="Tahoma"/>
          <w:sz w:val="22"/>
          <w:szCs w:val="22"/>
        </w:rPr>
        <w:t xml:space="preserve"> k vytvoření efektivního a finančně dostupného </w:t>
      </w:r>
      <w:r w:rsidRPr="00CF24A1">
        <w:rPr>
          <w:rFonts w:ascii="Tahoma" w:eastAsia="Proxima Nova Rg" w:hAnsi="Tahoma" w:cs="Tahoma"/>
          <w:sz w:val="22"/>
          <w:szCs w:val="22"/>
        </w:rPr>
        <w:t>softwarov</w:t>
      </w:r>
      <w:r w:rsidR="00432899">
        <w:rPr>
          <w:rFonts w:ascii="Tahoma" w:eastAsia="Proxima Nova Rg" w:hAnsi="Tahoma" w:cs="Tahoma"/>
          <w:sz w:val="22"/>
          <w:szCs w:val="22"/>
        </w:rPr>
        <w:t>ého</w:t>
      </w:r>
      <w:r w:rsidRPr="00CF24A1">
        <w:rPr>
          <w:rFonts w:ascii="Tahoma" w:eastAsia="Proxima Nova Rg" w:hAnsi="Tahoma" w:cs="Tahoma"/>
          <w:sz w:val="22"/>
          <w:szCs w:val="22"/>
        </w:rPr>
        <w:t xml:space="preserve"> prostředím.</w:t>
      </w:r>
    </w:p>
    <w:p w14:paraId="5F5EEB68" w14:textId="77777777" w:rsidR="00184062" w:rsidRPr="00B639A0" w:rsidRDefault="00184062" w:rsidP="00C41D7C">
      <w:pPr>
        <w:rPr>
          <w:rFonts w:ascii="Tahoma" w:eastAsia="Proxima Nova Rg" w:hAnsi="Tahoma" w:cs="Tahoma"/>
          <w:sz w:val="22"/>
          <w:szCs w:val="22"/>
        </w:rPr>
      </w:pPr>
    </w:p>
    <w:p w14:paraId="7664A47D" w14:textId="77777777" w:rsidR="00203465" w:rsidRDefault="00203465" w:rsidP="00C41D7C">
      <w:pPr>
        <w:rPr>
          <w:rFonts w:ascii="Tahoma" w:hAnsi="Tahoma" w:cs="Tahoma"/>
          <w:sz w:val="22"/>
          <w:szCs w:val="22"/>
        </w:rPr>
      </w:pPr>
    </w:p>
    <w:p w14:paraId="754A402A" w14:textId="77777777" w:rsidR="0060579E" w:rsidRDefault="0060579E" w:rsidP="00C41D7C">
      <w:pPr>
        <w:rPr>
          <w:rFonts w:ascii="Tahoma" w:hAnsi="Tahoma" w:cs="Tahoma"/>
          <w:sz w:val="22"/>
          <w:szCs w:val="22"/>
        </w:rPr>
      </w:pPr>
    </w:p>
    <w:p w14:paraId="474DE537" w14:textId="77777777" w:rsidR="00203465" w:rsidRDefault="00203465" w:rsidP="004F0463">
      <w:pPr>
        <w:jc w:val="both"/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en-GB"/>
        </w:rPr>
      </w:pPr>
    </w:p>
    <w:p w14:paraId="1831D771" w14:textId="78026001" w:rsidR="004F0463" w:rsidRPr="00D97495" w:rsidRDefault="00DE0C38" w:rsidP="004F0463">
      <w:pPr>
        <w:jc w:val="both"/>
        <w:rPr>
          <w:rFonts w:ascii="Tahoma" w:eastAsia="Times New Roman" w:hAnsi="Tahoma" w:cs="Tahoma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O</w:t>
      </w:r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 xml:space="preserve"> </w:t>
      </w:r>
      <w:proofErr w:type="spellStart"/>
      <w:r w:rsidR="004F0463"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Forscope</w:t>
      </w:r>
      <w:proofErr w:type="spellEnd"/>
    </w:p>
    <w:p w14:paraId="6AED4333" w14:textId="220A97F8" w:rsidR="004A2A87" w:rsidRPr="00D97495" w:rsidRDefault="00DE0C38" w:rsidP="00DE0C38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firma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dodává komplexní balíček služeb včetně technické podpory, licenčního a právního poradenství.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Forscope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se sídlem v České republice působí v dalších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devíti</w:t>
      </w:r>
      <w:r w:rsidR="00763E36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zemích střední a východní Evropy. </w:t>
      </w:r>
      <w:r w:rsidR="00763E36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Je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certifikovaným partnerem společnosti Microsoft a je držitelem certifikací ISO 9001:2015 a ISO 27001.</w:t>
      </w: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61C8AD75" w14:textId="0B74C3D0" w:rsidR="00582C0D" w:rsidRPr="00D97495" w:rsidRDefault="006E7A6A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link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link"/>
            <w:rFonts w:ascii="Tahoma" w:hAnsi="Tahoma" w:cs="Tahoma"/>
            <w:sz w:val="20"/>
            <w:szCs w:val="20"/>
          </w:rPr>
          <w:t>k</w:t>
        </w:r>
      </w:hyperlink>
    </w:p>
    <w:p w14:paraId="7FE620F3" w14:textId="77777777" w:rsidR="00F92A2A" w:rsidRPr="00D97495" w:rsidRDefault="00F92A2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link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4123FC">
      <w:headerReference w:type="default" r:id="rId11"/>
      <w:pgSz w:w="11906" w:h="16838"/>
      <w:pgMar w:top="1440" w:right="127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7AC0" w14:textId="77777777" w:rsidR="00FC0449" w:rsidRDefault="00FC0449" w:rsidP="004F0463">
      <w:r>
        <w:separator/>
      </w:r>
    </w:p>
  </w:endnote>
  <w:endnote w:type="continuationSeparator" w:id="0">
    <w:p w14:paraId="153C387D" w14:textId="77777777" w:rsidR="00FC0449" w:rsidRDefault="00FC0449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426A" w14:textId="77777777" w:rsidR="00FC0449" w:rsidRDefault="00FC0449" w:rsidP="004F0463">
      <w:r>
        <w:separator/>
      </w:r>
    </w:p>
  </w:footnote>
  <w:footnote w:type="continuationSeparator" w:id="0">
    <w:p w14:paraId="72A5FE63" w14:textId="77777777" w:rsidR="00FC0449" w:rsidRDefault="00FC0449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Header"/>
      <w:jc w:val="center"/>
    </w:pPr>
    <w:r>
      <w:rPr>
        <w:noProof/>
      </w:rPr>
      <w:drawing>
        <wp:inline distT="0" distB="0" distL="0" distR="0" wp14:anchorId="00644A29" wp14:editId="67304CB7">
          <wp:extent cx="1701478" cy="850739"/>
          <wp:effectExtent l="0" t="0" r="635" b="635"/>
          <wp:docPr id="13393348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19" cy="89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93952">
    <w:abstractNumId w:val="1"/>
  </w:num>
  <w:num w:numId="2" w16cid:durableId="936014110">
    <w:abstractNumId w:val="4"/>
  </w:num>
  <w:num w:numId="3" w16cid:durableId="1291859499">
    <w:abstractNumId w:val="2"/>
  </w:num>
  <w:num w:numId="4" w16cid:durableId="1957329107">
    <w:abstractNumId w:val="5"/>
  </w:num>
  <w:num w:numId="5" w16cid:durableId="1638023334">
    <w:abstractNumId w:val="3"/>
  </w:num>
  <w:num w:numId="6" w16cid:durableId="12702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36DAF"/>
    <w:rsid w:val="00065879"/>
    <w:rsid w:val="000A2A76"/>
    <w:rsid w:val="000E2834"/>
    <w:rsid w:val="000E46F9"/>
    <w:rsid w:val="0011615D"/>
    <w:rsid w:val="00184062"/>
    <w:rsid w:val="00203465"/>
    <w:rsid w:val="00214A06"/>
    <w:rsid w:val="00231352"/>
    <w:rsid w:val="00244C35"/>
    <w:rsid w:val="00261A7C"/>
    <w:rsid w:val="00271B13"/>
    <w:rsid w:val="00280A86"/>
    <w:rsid w:val="002A20D8"/>
    <w:rsid w:val="002B4CAB"/>
    <w:rsid w:val="002B7AC4"/>
    <w:rsid w:val="002C6A89"/>
    <w:rsid w:val="002C713E"/>
    <w:rsid w:val="002F47B8"/>
    <w:rsid w:val="0032059C"/>
    <w:rsid w:val="00343278"/>
    <w:rsid w:val="00345CF3"/>
    <w:rsid w:val="003745BA"/>
    <w:rsid w:val="0039419B"/>
    <w:rsid w:val="0040654B"/>
    <w:rsid w:val="004123FC"/>
    <w:rsid w:val="00432899"/>
    <w:rsid w:val="00436E42"/>
    <w:rsid w:val="00443EE8"/>
    <w:rsid w:val="004538A3"/>
    <w:rsid w:val="00494368"/>
    <w:rsid w:val="004A23F2"/>
    <w:rsid w:val="004A2A87"/>
    <w:rsid w:val="004A7728"/>
    <w:rsid w:val="004C266B"/>
    <w:rsid w:val="004F0463"/>
    <w:rsid w:val="00512C11"/>
    <w:rsid w:val="00536EBF"/>
    <w:rsid w:val="00537FBD"/>
    <w:rsid w:val="005633A0"/>
    <w:rsid w:val="005738E5"/>
    <w:rsid w:val="00582C0D"/>
    <w:rsid w:val="00593CC9"/>
    <w:rsid w:val="005B4AD9"/>
    <w:rsid w:val="005D7222"/>
    <w:rsid w:val="005F4BB0"/>
    <w:rsid w:val="0060579E"/>
    <w:rsid w:val="006312C9"/>
    <w:rsid w:val="00660A02"/>
    <w:rsid w:val="00674CEC"/>
    <w:rsid w:val="006A73B3"/>
    <w:rsid w:val="006D7FA4"/>
    <w:rsid w:val="006E7A6A"/>
    <w:rsid w:val="007013EC"/>
    <w:rsid w:val="00763E36"/>
    <w:rsid w:val="0078178E"/>
    <w:rsid w:val="007A6B8B"/>
    <w:rsid w:val="007B169F"/>
    <w:rsid w:val="007B62B7"/>
    <w:rsid w:val="007D0A78"/>
    <w:rsid w:val="007D7EE8"/>
    <w:rsid w:val="008127C4"/>
    <w:rsid w:val="008274AF"/>
    <w:rsid w:val="008438F7"/>
    <w:rsid w:val="00877091"/>
    <w:rsid w:val="008852F3"/>
    <w:rsid w:val="00887E3A"/>
    <w:rsid w:val="008B7F29"/>
    <w:rsid w:val="008C67C6"/>
    <w:rsid w:val="008D0EB6"/>
    <w:rsid w:val="008D7155"/>
    <w:rsid w:val="008E1C0A"/>
    <w:rsid w:val="008F2ED8"/>
    <w:rsid w:val="00916018"/>
    <w:rsid w:val="0093778B"/>
    <w:rsid w:val="009637D0"/>
    <w:rsid w:val="009679AF"/>
    <w:rsid w:val="009A31DD"/>
    <w:rsid w:val="009F4136"/>
    <w:rsid w:val="00A1437A"/>
    <w:rsid w:val="00A23C89"/>
    <w:rsid w:val="00A37855"/>
    <w:rsid w:val="00A56738"/>
    <w:rsid w:val="00A73BFA"/>
    <w:rsid w:val="00A8196B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A2CE8"/>
    <w:rsid w:val="00BB071A"/>
    <w:rsid w:val="00BF7B79"/>
    <w:rsid w:val="00C20748"/>
    <w:rsid w:val="00C228D4"/>
    <w:rsid w:val="00C2409E"/>
    <w:rsid w:val="00C34E51"/>
    <w:rsid w:val="00C41D7C"/>
    <w:rsid w:val="00C56306"/>
    <w:rsid w:val="00C6189C"/>
    <w:rsid w:val="00C644F7"/>
    <w:rsid w:val="00C75C3F"/>
    <w:rsid w:val="00CA54F3"/>
    <w:rsid w:val="00CD101F"/>
    <w:rsid w:val="00CF24A1"/>
    <w:rsid w:val="00D62EB6"/>
    <w:rsid w:val="00D97495"/>
    <w:rsid w:val="00DA1B0D"/>
    <w:rsid w:val="00DA2D93"/>
    <w:rsid w:val="00DE0C38"/>
    <w:rsid w:val="00E21868"/>
    <w:rsid w:val="00E27978"/>
    <w:rsid w:val="00E36C78"/>
    <w:rsid w:val="00E67C17"/>
    <w:rsid w:val="00E95A41"/>
    <w:rsid w:val="00EC5274"/>
    <w:rsid w:val="00F0341B"/>
    <w:rsid w:val="00F35850"/>
    <w:rsid w:val="00F3721E"/>
    <w:rsid w:val="00F46C8D"/>
    <w:rsid w:val="00F51EFC"/>
    <w:rsid w:val="00F55415"/>
    <w:rsid w:val="00F61DFA"/>
    <w:rsid w:val="00F92A2A"/>
    <w:rsid w:val="00FB7531"/>
    <w:rsid w:val="00FC0449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463"/>
  </w:style>
  <w:style w:type="paragraph" w:styleId="Footer">
    <w:name w:val="footer"/>
    <w:basedOn w:val="Normal"/>
    <w:link w:val="Footer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463"/>
  </w:style>
  <w:style w:type="character" w:styleId="Hyperlink">
    <w:name w:val="Hyperlink"/>
    <w:basedOn w:val="DefaultParagraphFont"/>
    <w:uiPriority w:val="99"/>
    <w:unhideWhenUsed/>
    <w:rsid w:val="00214A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341B"/>
  </w:style>
  <w:style w:type="character" w:styleId="FollowedHyperlink">
    <w:name w:val="FollowedHyperlink"/>
    <w:basedOn w:val="DefaultParagraphFont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C0A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663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Gidei</dc:creator>
  <cp:keywords/>
  <dc:description/>
  <cp:lastModifiedBy>Igor Walter</cp:lastModifiedBy>
  <cp:revision>2</cp:revision>
  <dcterms:created xsi:type="dcterms:W3CDTF">2025-05-15T11:56:00Z</dcterms:created>
  <dcterms:modified xsi:type="dcterms:W3CDTF">2025-05-15T11:56:00Z</dcterms:modified>
</cp:coreProperties>
</file>