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A4AC" w14:textId="77777777" w:rsidR="00537FBD" w:rsidRDefault="00537FBD" w:rsidP="00D97495">
      <w:pPr>
        <w:jc w:val="center"/>
        <w:rPr>
          <w:rFonts w:ascii="Tahoma" w:hAnsi="Tahoma" w:cs="Tahoma"/>
          <w:b/>
          <w:bCs/>
          <w:sz w:val="28"/>
          <w:szCs w:val="28"/>
        </w:rPr>
      </w:pPr>
    </w:p>
    <w:p w14:paraId="74A13217" w14:textId="7FCE684F" w:rsidR="00D97495" w:rsidRPr="00D97495" w:rsidRDefault="00002F47" w:rsidP="00D97495">
      <w:pPr>
        <w:jc w:val="center"/>
        <w:rPr>
          <w:rFonts w:ascii="Tahoma" w:hAnsi="Tahoma" w:cs="Tahoma"/>
          <w:b/>
          <w:bCs/>
          <w:sz w:val="28"/>
          <w:szCs w:val="28"/>
        </w:rPr>
      </w:pPr>
      <w:r w:rsidRPr="00D97495">
        <w:rPr>
          <w:rFonts w:ascii="Tahoma" w:hAnsi="Tahoma" w:cs="Tahoma"/>
          <w:b/>
          <w:bCs/>
          <w:sz w:val="28"/>
          <w:szCs w:val="28"/>
        </w:rPr>
        <w:t>Jak směrnice NIS2 ovlivní možnost používat</w:t>
      </w:r>
    </w:p>
    <w:p w14:paraId="61C25D6F" w14:textId="425C93DC" w:rsidR="006E7A6A" w:rsidRPr="00D97495" w:rsidRDefault="00002F47" w:rsidP="006E7A6A">
      <w:pPr>
        <w:jc w:val="center"/>
        <w:rPr>
          <w:rFonts w:ascii="Tahoma" w:hAnsi="Tahoma" w:cs="Tahoma"/>
          <w:sz w:val="28"/>
          <w:szCs w:val="28"/>
        </w:rPr>
      </w:pPr>
      <w:r w:rsidRPr="00D97495">
        <w:rPr>
          <w:rFonts w:ascii="Tahoma" w:hAnsi="Tahoma" w:cs="Tahoma"/>
          <w:b/>
          <w:bCs/>
          <w:sz w:val="28"/>
          <w:szCs w:val="28"/>
        </w:rPr>
        <w:t>druhotný software</w:t>
      </w:r>
      <w:r w:rsidR="00D97495" w:rsidRPr="00D97495">
        <w:rPr>
          <w:rFonts w:ascii="Tahoma" w:hAnsi="Tahoma" w:cs="Tahoma"/>
          <w:b/>
          <w:bCs/>
          <w:sz w:val="28"/>
          <w:szCs w:val="28"/>
        </w:rPr>
        <w:t>?</w:t>
      </w:r>
    </w:p>
    <w:p w14:paraId="7835F0C6" w14:textId="77777777" w:rsidR="006E7A6A" w:rsidRPr="006E7A6A" w:rsidRDefault="006E7A6A" w:rsidP="006E7A6A">
      <w:pPr>
        <w:jc w:val="center"/>
        <w:rPr>
          <w:rFonts w:ascii="Tahoma" w:hAnsi="Tahoma" w:cs="Tahoma"/>
          <w:sz w:val="22"/>
          <w:szCs w:val="22"/>
        </w:rPr>
      </w:pPr>
    </w:p>
    <w:p w14:paraId="4E5A6983" w14:textId="33CF1B06" w:rsidR="00002F47" w:rsidRPr="00D97495" w:rsidRDefault="000A2A76" w:rsidP="006E7A6A">
      <w:pPr>
        <w:rPr>
          <w:rFonts w:ascii="Tahoma" w:hAnsi="Tahoma" w:cs="Tahoma"/>
          <w:sz w:val="22"/>
          <w:szCs w:val="22"/>
        </w:rPr>
      </w:pPr>
      <w:r w:rsidRPr="000A2A76">
        <w:rPr>
          <w:rFonts w:ascii="Tahoma" w:hAnsi="Tahoma" w:cs="Tahoma"/>
          <w:b/>
          <w:bCs/>
          <w:sz w:val="22"/>
          <w:szCs w:val="22"/>
        </w:rPr>
        <w:t>V</w:t>
      </w:r>
      <w:r w:rsidR="00002F47" w:rsidRPr="00D97495">
        <w:rPr>
          <w:rFonts w:ascii="Tahoma" w:hAnsi="Tahoma" w:cs="Tahoma"/>
          <w:b/>
          <w:bCs/>
          <w:sz w:val="22"/>
          <w:szCs w:val="22"/>
        </w:rPr>
        <w:t xml:space="preserve"> prosinci 2022 byla </w:t>
      </w:r>
      <w:r w:rsidR="00D97495" w:rsidRPr="00D97495">
        <w:rPr>
          <w:rFonts w:ascii="Tahoma" w:hAnsi="Tahoma" w:cs="Tahoma"/>
          <w:b/>
          <w:bCs/>
          <w:sz w:val="22"/>
          <w:szCs w:val="22"/>
        </w:rPr>
        <w:t xml:space="preserve">Evropskou unií </w:t>
      </w:r>
      <w:r w:rsidR="00002F47" w:rsidRPr="00D97495">
        <w:rPr>
          <w:rFonts w:ascii="Tahoma" w:hAnsi="Tahoma" w:cs="Tahoma"/>
          <w:b/>
          <w:bCs/>
          <w:sz w:val="22"/>
          <w:szCs w:val="22"/>
        </w:rPr>
        <w:t>schválena směrnice NIS2 (Network and Information System Directive 2), která stanovuje pravidla a požadavky na kybernetickou bezpečnost ICT systém</w:t>
      </w:r>
      <w:r w:rsidR="00537FBD">
        <w:rPr>
          <w:rFonts w:ascii="Tahoma" w:hAnsi="Tahoma" w:cs="Tahoma"/>
          <w:b/>
          <w:bCs/>
          <w:sz w:val="22"/>
          <w:szCs w:val="22"/>
        </w:rPr>
        <w:t xml:space="preserve">ů </w:t>
      </w:r>
      <w:r w:rsidR="00D97495" w:rsidRPr="00D97495">
        <w:rPr>
          <w:rFonts w:ascii="Tahoma" w:hAnsi="Tahoma" w:cs="Tahoma"/>
          <w:b/>
          <w:bCs/>
          <w:sz w:val="22"/>
          <w:szCs w:val="22"/>
        </w:rPr>
        <w:t>i</w:t>
      </w:r>
      <w:r w:rsidR="00002F47" w:rsidRPr="00D97495">
        <w:rPr>
          <w:rFonts w:ascii="Tahoma" w:hAnsi="Tahoma" w:cs="Tahoma"/>
          <w:b/>
          <w:bCs/>
          <w:sz w:val="22"/>
          <w:szCs w:val="22"/>
        </w:rPr>
        <w:t xml:space="preserve"> sít</w:t>
      </w:r>
      <w:r w:rsidR="00537FBD">
        <w:rPr>
          <w:rFonts w:ascii="Tahoma" w:hAnsi="Tahoma" w:cs="Tahoma"/>
          <w:b/>
          <w:bCs/>
          <w:sz w:val="22"/>
          <w:szCs w:val="22"/>
        </w:rPr>
        <w:t>í</w:t>
      </w:r>
      <w:r w:rsidR="00002F47" w:rsidRPr="00D97495">
        <w:rPr>
          <w:rFonts w:ascii="Tahoma" w:hAnsi="Tahoma" w:cs="Tahoma"/>
          <w:b/>
          <w:bCs/>
          <w:sz w:val="22"/>
          <w:szCs w:val="22"/>
        </w:rPr>
        <w:t>.</w:t>
      </w:r>
      <w:r w:rsidR="00A23C89" w:rsidRPr="00D97495">
        <w:rPr>
          <w:rFonts w:ascii="Tahoma" w:hAnsi="Tahoma" w:cs="Tahoma"/>
          <w:b/>
          <w:bCs/>
          <w:sz w:val="22"/>
          <w:szCs w:val="22"/>
        </w:rPr>
        <w:t xml:space="preserve"> NIS2 </w:t>
      </w:r>
      <w:r w:rsidR="00002F47" w:rsidRPr="00D97495">
        <w:rPr>
          <w:rFonts w:ascii="Tahoma" w:hAnsi="Tahoma" w:cs="Tahoma"/>
          <w:b/>
          <w:bCs/>
          <w:sz w:val="22"/>
          <w:szCs w:val="22"/>
        </w:rPr>
        <w:t xml:space="preserve">měly jednotlivé země EU implementovat do </w:t>
      </w:r>
      <w:r w:rsidR="00537FBD">
        <w:rPr>
          <w:rFonts w:ascii="Tahoma" w:hAnsi="Tahoma" w:cs="Tahoma"/>
          <w:b/>
          <w:bCs/>
          <w:sz w:val="22"/>
          <w:szCs w:val="22"/>
        </w:rPr>
        <w:t xml:space="preserve">svých </w:t>
      </w:r>
      <w:r w:rsidR="00002F47" w:rsidRPr="00C644F7">
        <w:rPr>
          <w:rFonts w:ascii="Tahoma" w:hAnsi="Tahoma" w:cs="Tahoma"/>
          <w:b/>
          <w:bCs/>
          <w:sz w:val="22"/>
          <w:szCs w:val="22"/>
        </w:rPr>
        <w:t xml:space="preserve">právních řádů do 18. října 2024. </w:t>
      </w:r>
      <w:r w:rsidR="00C644F7" w:rsidRPr="00C644F7">
        <w:rPr>
          <w:rFonts w:ascii="Tahoma" w:hAnsi="Tahoma" w:cs="Tahoma"/>
          <w:b/>
          <w:bCs/>
          <w:sz w:val="22"/>
          <w:szCs w:val="22"/>
        </w:rPr>
        <w:t xml:space="preserve">V praxi se tak </w:t>
      </w:r>
      <w:r w:rsidR="00537FBD">
        <w:rPr>
          <w:rFonts w:ascii="Tahoma" w:hAnsi="Tahoma" w:cs="Tahoma"/>
          <w:b/>
          <w:bCs/>
          <w:sz w:val="22"/>
          <w:szCs w:val="22"/>
        </w:rPr>
        <w:t xml:space="preserve">ale </w:t>
      </w:r>
      <w:r w:rsidR="00C644F7" w:rsidRPr="00C644F7">
        <w:rPr>
          <w:rFonts w:ascii="Tahoma" w:hAnsi="Tahoma" w:cs="Tahoma"/>
          <w:b/>
          <w:bCs/>
          <w:sz w:val="22"/>
          <w:szCs w:val="22"/>
        </w:rPr>
        <w:t xml:space="preserve">dosud v řadě zemí nestalo, včetně ČR, kde se počítá se zavedením v polovině roku. </w:t>
      </w:r>
      <w:r w:rsidR="00A23C89" w:rsidRPr="00C644F7">
        <w:rPr>
          <w:rFonts w:ascii="Tahoma" w:hAnsi="Tahoma" w:cs="Tahoma"/>
          <w:b/>
          <w:bCs/>
          <w:sz w:val="22"/>
          <w:szCs w:val="22"/>
        </w:rPr>
        <w:t>Dotknou se nová, přísnější pravidla mo</w:t>
      </w:r>
      <w:r w:rsidR="00261A7C" w:rsidRPr="00C644F7">
        <w:rPr>
          <w:rFonts w:ascii="Tahoma" w:hAnsi="Tahoma" w:cs="Tahoma"/>
          <w:b/>
          <w:bCs/>
          <w:sz w:val="22"/>
          <w:szCs w:val="22"/>
        </w:rPr>
        <w:t>ž</w:t>
      </w:r>
      <w:r w:rsidR="00A23C89" w:rsidRPr="00C644F7">
        <w:rPr>
          <w:rFonts w:ascii="Tahoma" w:hAnsi="Tahoma" w:cs="Tahoma"/>
          <w:b/>
          <w:bCs/>
          <w:sz w:val="22"/>
          <w:szCs w:val="22"/>
        </w:rPr>
        <w:t>nosti vyu</w:t>
      </w:r>
      <w:r w:rsidR="00DA1B0D" w:rsidRPr="00C644F7">
        <w:rPr>
          <w:rFonts w:ascii="Tahoma" w:hAnsi="Tahoma" w:cs="Tahoma"/>
          <w:b/>
          <w:bCs/>
          <w:sz w:val="22"/>
          <w:szCs w:val="22"/>
        </w:rPr>
        <w:t>ž</w:t>
      </w:r>
      <w:r w:rsidR="00A23C89" w:rsidRPr="00C644F7">
        <w:rPr>
          <w:rFonts w:ascii="Tahoma" w:hAnsi="Tahoma" w:cs="Tahoma"/>
          <w:b/>
          <w:bCs/>
          <w:sz w:val="22"/>
          <w:szCs w:val="22"/>
        </w:rPr>
        <w:t>ívat druhotný software?</w:t>
      </w:r>
    </w:p>
    <w:p w14:paraId="5A178048" w14:textId="77777777" w:rsidR="00002F47" w:rsidRPr="00D97495" w:rsidRDefault="00002F47" w:rsidP="00002F47">
      <w:pPr>
        <w:rPr>
          <w:rFonts w:ascii="Tahoma" w:hAnsi="Tahoma" w:cs="Tahoma"/>
          <w:sz w:val="22"/>
          <w:szCs w:val="22"/>
        </w:rPr>
      </w:pPr>
    </w:p>
    <w:p w14:paraId="7D8EA871" w14:textId="77777777" w:rsidR="00002F47" w:rsidRDefault="00002F47" w:rsidP="00002F47">
      <w:pPr>
        <w:rPr>
          <w:rFonts w:ascii="Tahoma" w:hAnsi="Tahoma" w:cs="Tahoma"/>
          <w:b/>
          <w:bCs/>
          <w:sz w:val="22"/>
          <w:szCs w:val="22"/>
        </w:rPr>
      </w:pPr>
      <w:r w:rsidRPr="00D97495">
        <w:rPr>
          <w:rFonts w:ascii="Tahoma" w:hAnsi="Tahoma" w:cs="Tahoma"/>
          <w:b/>
          <w:bCs/>
          <w:sz w:val="22"/>
          <w:szCs w:val="22"/>
        </w:rPr>
        <w:t>NIS2 – koho se to týká?</w:t>
      </w:r>
    </w:p>
    <w:p w14:paraId="64E0FFCB" w14:textId="38053529" w:rsidR="00002F47" w:rsidRPr="00D97495" w:rsidRDefault="00002F47" w:rsidP="00002F47">
      <w:pPr>
        <w:rPr>
          <w:rFonts w:ascii="Tahoma" w:hAnsi="Tahoma" w:cs="Tahoma"/>
          <w:sz w:val="22"/>
          <w:szCs w:val="22"/>
        </w:rPr>
      </w:pPr>
      <w:r w:rsidRPr="00D97495">
        <w:rPr>
          <w:rFonts w:ascii="Tahoma" w:hAnsi="Tahoma" w:cs="Tahoma"/>
          <w:sz w:val="22"/>
          <w:szCs w:val="22"/>
        </w:rPr>
        <w:t xml:space="preserve">Nová legislativa se </w:t>
      </w:r>
      <w:r w:rsidR="00A23C89" w:rsidRPr="00D97495">
        <w:rPr>
          <w:rFonts w:ascii="Tahoma" w:hAnsi="Tahoma" w:cs="Tahoma"/>
          <w:sz w:val="22"/>
          <w:szCs w:val="22"/>
        </w:rPr>
        <w:t>do</w:t>
      </w:r>
      <w:r w:rsidRPr="00D97495">
        <w:rPr>
          <w:rFonts w:ascii="Tahoma" w:hAnsi="Tahoma" w:cs="Tahoma"/>
          <w:sz w:val="22"/>
          <w:szCs w:val="22"/>
        </w:rPr>
        <w:t>týk</w:t>
      </w:r>
      <w:r w:rsidR="00A23C89" w:rsidRPr="00D97495">
        <w:rPr>
          <w:rFonts w:ascii="Tahoma" w:hAnsi="Tahoma" w:cs="Tahoma"/>
          <w:sz w:val="22"/>
          <w:szCs w:val="22"/>
        </w:rPr>
        <w:t>á</w:t>
      </w:r>
      <w:r w:rsidRPr="00D97495">
        <w:rPr>
          <w:rFonts w:ascii="Tahoma" w:hAnsi="Tahoma" w:cs="Tahoma"/>
          <w:sz w:val="22"/>
          <w:szCs w:val="22"/>
        </w:rPr>
        <w:t xml:space="preserve"> desítek tisíc společností v celé Evropské unii</w:t>
      </w:r>
      <w:r w:rsidR="00A23C89" w:rsidRPr="00D97495">
        <w:rPr>
          <w:rFonts w:ascii="Tahoma" w:hAnsi="Tahoma" w:cs="Tahoma"/>
          <w:sz w:val="22"/>
          <w:szCs w:val="22"/>
        </w:rPr>
        <w:t xml:space="preserve"> a</w:t>
      </w:r>
      <w:r w:rsidRPr="00D97495">
        <w:rPr>
          <w:rFonts w:ascii="Tahoma" w:hAnsi="Tahoma" w:cs="Tahoma"/>
          <w:sz w:val="22"/>
          <w:szCs w:val="22"/>
        </w:rPr>
        <w:t xml:space="preserve"> přin</w:t>
      </w:r>
      <w:r w:rsidR="00A23C89" w:rsidRPr="00D97495">
        <w:rPr>
          <w:rFonts w:ascii="Tahoma" w:hAnsi="Tahoma" w:cs="Tahoma"/>
          <w:sz w:val="22"/>
          <w:szCs w:val="22"/>
        </w:rPr>
        <w:t xml:space="preserve">áší </w:t>
      </w:r>
      <w:r w:rsidRPr="00D97495">
        <w:rPr>
          <w:rFonts w:ascii="Tahoma" w:hAnsi="Tahoma" w:cs="Tahoma"/>
          <w:sz w:val="22"/>
          <w:szCs w:val="22"/>
        </w:rPr>
        <w:t>významné změny ve způsobu řízení kybernetické bezpečnosti ve veřejném i soukromém sektoru</w:t>
      </w:r>
      <w:r w:rsidR="00A23C89" w:rsidRPr="00D97495">
        <w:rPr>
          <w:rFonts w:ascii="Tahoma" w:hAnsi="Tahoma" w:cs="Tahoma"/>
          <w:sz w:val="22"/>
          <w:szCs w:val="22"/>
        </w:rPr>
        <w:t>. N</w:t>
      </w:r>
      <w:r w:rsidRPr="00D97495">
        <w:rPr>
          <w:rFonts w:ascii="Tahoma" w:hAnsi="Tahoma" w:cs="Tahoma"/>
          <w:sz w:val="22"/>
          <w:szCs w:val="22"/>
        </w:rPr>
        <w:t>a rozdíl od své předchůdkyně, směrnice NIS</w:t>
      </w:r>
      <w:r w:rsidR="00A23C89" w:rsidRPr="00D97495">
        <w:rPr>
          <w:rFonts w:ascii="Tahoma" w:hAnsi="Tahoma" w:cs="Tahoma"/>
          <w:sz w:val="22"/>
          <w:szCs w:val="22"/>
        </w:rPr>
        <w:t xml:space="preserve">, se dotýká </w:t>
      </w:r>
      <w:r w:rsidRPr="00D97495">
        <w:rPr>
          <w:rFonts w:ascii="Tahoma" w:hAnsi="Tahoma" w:cs="Tahoma"/>
          <w:sz w:val="22"/>
          <w:szCs w:val="22"/>
        </w:rPr>
        <w:t>mimo jiné veřejn</w:t>
      </w:r>
      <w:r w:rsidR="00A23C89" w:rsidRPr="00D97495">
        <w:rPr>
          <w:rFonts w:ascii="Tahoma" w:hAnsi="Tahoma" w:cs="Tahoma"/>
          <w:sz w:val="22"/>
          <w:szCs w:val="22"/>
        </w:rPr>
        <w:t>é</w:t>
      </w:r>
      <w:r w:rsidRPr="00D97495">
        <w:rPr>
          <w:rFonts w:ascii="Tahoma" w:hAnsi="Tahoma" w:cs="Tahoma"/>
          <w:sz w:val="22"/>
          <w:szCs w:val="22"/>
        </w:rPr>
        <w:t xml:space="preserve"> správ</w:t>
      </w:r>
      <w:r w:rsidR="00A23C89" w:rsidRPr="00D97495">
        <w:rPr>
          <w:rFonts w:ascii="Tahoma" w:hAnsi="Tahoma" w:cs="Tahoma"/>
          <w:sz w:val="22"/>
          <w:szCs w:val="22"/>
        </w:rPr>
        <w:t>y</w:t>
      </w:r>
      <w:r w:rsidRPr="00D97495">
        <w:rPr>
          <w:rFonts w:ascii="Tahoma" w:hAnsi="Tahoma" w:cs="Tahoma"/>
          <w:sz w:val="22"/>
          <w:szCs w:val="22"/>
        </w:rPr>
        <w:t>, potravinářsk</w:t>
      </w:r>
      <w:r w:rsidR="00261A7C" w:rsidRPr="00D97495">
        <w:rPr>
          <w:rFonts w:ascii="Tahoma" w:hAnsi="Tahoma" w:cs="Tahoma"/>
          <w:sz w:val="22"/>
          <w:szCs w:val="22"/>
        </w:rPr>
        <w:t>ého</w:t>
      </w:r>
      <w:r w:rsidRPr="00D97495">
        <w:rPr>
          <w:rFonts w:ascii="Tahoma" w:hAnsi="Tahoma" w:cs="Tahoma"/>
          <w:sz w:val="22"/>
          <w:szCs w:val="22"/>
        </w:rPr>
        <w:t xml:space="preserve"> průmysl</w:t>
      </w:r>
      <w:r w:rsidR="00A23C89" w:rsidRPr="00D97495">
        <w:rPr>
          <w:rFonts w:ascii="Tahoma" w:hAnsi="Tahoma" w:cs="Tahoma"/>
          <w:sz w:val="22"/>
          <w:szCs w:val="22"/>
        </w:rPr>
        <w:t>u</w:t>
      </w:r>
      <w:r w:rsidRPr="00D97495">
        <w:rPr>
          <w:rFonts w:ascii="Tahoma" w:hAnsi="Tahoma" w:cs="Tahoma"/>
          <w:sz w:val="22"/>
          <w:szCs w:val="22"/>
        </w:rPr>
        <w:t xml:space="preserve"> nebo nakládání s odpady.</w:t>
      </w:r>
      <w:r w:rsidR="00A23C89" w:rsidRPr="00D97495">
        <w:rPr>
          <w:rFonts w:ascii="Tahoma" w:hAnsi="Tahoma" w:cs="Tahoma"/>
          <w:sz w:val="22"/>
          <w:szCs w:val="22"/>
        </w:rPr>
        <w:br/>
      </w:r>
    </w:p>
    <w:p w14:paraId="73C13524" w14:textId="77777777" w:rsidR="006E7A6A" w:rsidRPr="00D97495" w:rsidRDefault="00002F47" w:rsidP="00002F47">
      <w:pPr>
        <w:rPr>
          <w:rFonts w:ascii="Tahoma" w:hAnsi="Tahoma" w:cs="Tahoma"/>
          <w:sz w:val="22"/>
          <w:szCs w:val="22"/>
        </w:rPr>
      </w:pPr>
      <w:r w:rsidRPr="00D97495">
        <w:rPr>
          <w:rFonts w:ascii="Tahoma" w:hAnsi="Tahoma" w:cs="Tahoma"/>
          <w:sz w:val="22"/>
          <w:szCs w:val="22"/>
        </w:rPr>
        <w:t>Směrnice definuje dva typy subjektů:</w:t>
      </w:r>
    </w:p>
    <w:p w14:paraId="583E375A" w14:textId="1774D577" w:rsidR="006E7A6A" w:rsidRPr="00D97495" w:rsidRDefault="00002F47" w:rsidP="00002F47">
      <w:pPr>
        <w:pStyle w:val="Odstavecseseznamem"/>
        <w:numPr>
          <w:ilvl w:val="0"/>
          <w:numId w:val="2"/>
        </w:numPr>
        <w:rPr>
          <w:rFonts w:ascii="Tahoma" w:hAnsi="Tahoma" w:cs="Tahoma"/>
          <w:sz w:val="22"/>
          <w:szCs w:val="22"/>
        </w:rPr>
      </w:pPr>
      <w:r w:rsidRPr="00D97495">
        <w:rPr>
          <w:rFonts w:ascii="Tahoma" w:hAnsi="Tahoma" w:cs="Tahoma"/>
          <w:sz w:val="22"/>
          <w:szCs w:val="22"/>
        </w:rPr>
        <w:t>Základní subjekty s nejširším rozsahem odpovědností</w:t>
      </w:r>
      <w:r w:rsidR="00537FBD">
        <w:rPr>
          <w:rFonts w:ascii="Tahoma" w:hAnsi="Tahoma" w:cs="Tahoma"/>
          <w:sz w:val="22"/>
          <w:szCs w:val="22"/>
        </w:rPr>
        <w:t>.</w:t>
      </w:r>
    </w:p>
    <w:p w14:paraId="4C91F8E0" w14:textId="09A34943" w:rsidR="00002F47" w:rsidRPr="00D97495" w:rsidRDefault="00002F47" w:rsidP="00002F47">
      <w:pPr>
        <w:pStyle w:val="Odstavecseseznamem"/>
        <w:numPr>
          <w:ilvl w:val="0"/>
          <w:numId w:val="2"/>
        </w:numPr>
        <w:rPr>
          <w:rFonts w:ascii="Tahoma" w:hAnsi="Tahoma" w:cs="Tahoma"/>
          <w:sz w:val="22"/>
          <w:szCs w:val="22"/>
        </w:rPr>
      </w:pPr>
      <w:r w:rsidRPr="00D97495">
        <w:rPr>
          <w:rFonts w:ascii="Tahoma" w:hAnsi="Tahoma" w:cs="Tahoma"/>
          <w:sz w:val="22"/>
          <w:szCs w:val="22"/>
        </w:rPr>
        <w:t>Důležité subjekty, které musí splňovat méně přísné požadavky, ale stále podléhají regulaci.</w:t>
      </w:r>
    </w:p>
    <w:p w14:paraId="43BAD461" w14:textId="77777777" w:rsidR="00A23C89" w:rsidRPr="00D97495" w:rsidRDefault="00A23C89" w:rsidP="00002F47">
      <w:pPr>
        <w:rPr>
          <w:rFonts w:ascii="Tahoma" w:hAnsi="Tahoma" w:cs="Tahoma"/>
          <w:sz w:val="22"/>
          <w:szCs w:val="22"/>
        </w:rPr>
      </w:pPr>
    </w:p>
    <w:p w14:paraId="6F4B5BE2" w14:textId="22CC0225" w:rsidR="00C644F7" w:rsidRPr="00C644F7" w:rsidRDefault="00002F47" w:rsidP="00C644F7">
      <w:pPr>
        <w:rPr>
          <w:rFonts w:ascii="Tahoma" w:hAnsi="Tahoma" w:cs="Tahoma"/>
          <w:sz w:val="22"/>
          <w:szCs w:val="22"/>
        </w:rPr>
      </w:pPr>
      <w:r w:rsidRPr="00D97495">
        <w:rPr>
          <w:rFonts w:ascii="Tahoma" w:hAnsi="Tahoma" w:cs="Tahoma"/>
          <w:sz w:val="22"/>
          <w:szCs w:val="22"/>
        </w:rPr>
        <w:t>Za podstatné subjekty a významné subjekty lze obecně považovat subjekty z odvětví uvedených v příloze I</w:t>
      </w:r>
      <w:r w:rsidR="00537FBD">
        <w:rPr>
          <w:rFonts w:ascii="Tahoma" w:hAnsi="Tahoma" w:cs="Tahoma"/>
          <w:sz w:val="22"/>
          <w:szCs w:val="22"/>
        </w:rPr>
        <w:t>.</w:t>
      </w:r>
      <w:r w:rsidRPr="00D97495">
        <w:rPr>
          <w:rFonts w:ascii="Tahoma" w:hAnsi="Tahoma" w:cs="Tahoma"/>
          <w:sz w:val="22"/>
          <w:szCs w:val="22"/>
        </w:rPr>
        <w:t xml:space="preserve"> a II</w:t>
      </w:r>
      <w:r w:rsidR="00537FBD">
        <w:rPr>
          <w:rFonts w:ascii="Tahoma" w:hAnsi="Tahoma" w:cs="Tahoma"/>
          <w:sz w:val="22"/>
          <w:szCs w:val="22"/>
        </w:rPr>
        <w:t>.</w:t>
      </w:r>
      <w:r w:rsidRPr="00D97495">
        <w:rPr>
          <w:rFonts w:ascii="Tahoma" w:hAnsi="Tahoma" w:cs="Tahoma"/>
          <w:sz w:val="22"/>
          <w:szCs w:val="22"/>
        </w:rPr>
        <w:t xml:space="preserve"> směrnice, které jsou minimálně středním podnikem (zaměstnávají minimálně 50 osob nebo jejichž roční obrat přesahuje 10 mil. EUR). Rovněž jsou zahrnuty další entity definované směrnicí NIS2, např</w:t>
      </w:r>
      <w:r w:rsidR="00D97495" w:rsidRPr="00D97495">
        <w:rPr>
          <w:rFonts w:ascii="Tahoma" w:hAnsi="Tahoma" w:cs="Tahoma"/>
          <w:sz w:val="22"/>
          <w:szCs w:val="22"/>
        </w:rPr>
        <w:t>.</w:t>
      </w:r>
      <w:r w:rsidRPr="00D97495">
        <w:rPr>
          <w:rFonts w:ascii="Tahoma" w:hAnsi="Tahoma" w:cs="Tahoma"/>
          <w:sz w:val="22"/>
          <w:szCs w:val="22"/>
        </w:rPr>
        <w:t xml:space="preserve"> subjekty veřejné správy, subjekty označené jako kritické subjekty podle směrnice (EU) 2022/2557, poskytovatelé veřejných sítí elektronických komunikací nebo veřejně dostupných služeb elektronických komunikací, kvalifikovaní poskytovatelé důvěryhodných služeb a registry doménových jmen nejvyšší úrovně a také poskytovatelé služeb DNS bez ohledu na jejich velikost. Na základě vnitrostátních právních předpisů mohou být zahrnuty i další subjekty.</w:t>
      </w:r>
      <w:r w:rsidR="00261A7C" w:rsidRPr="00D97495">
        <w:rPr>
          <w:rFonts w:ascii="Tahoma" w:hAnsi="Tahoma" w:cs="Tahoma"/>
          <w:sz w:val="22"/>
          <w:szCs w:val="22"/>
        </w:rPr>
        <w:t xml:space="preserve"> </w:t>
      </w:r>
      <w:r w:rsidRPr="00D97495">
        <w:rPr>
          <w:rFonts w:ascii="Tahoma" w:hAnsi="Tahoma" w:cs="Tahoma"/>
          <w:sz w:val="22"/>
          <w:szCs w:val="22"/>
        </w:rPr>
        <w:t xml:space="preserve">Směrnice však obsahuje několik výjimek. </w:t>
      </w:r>
      <w:r w:rsidR="00261A7C" w:rsidRPr="00C644F7">
        <w:rPr>
          <w:rFonts w:ascii="Tahoma" w:hAnsi="Tahoma" w:cs="Tahoma"/>
          <w:sz w:val="22"/>
          <w:szCs w:val="22"/>
        </w:rPr>
        <w:t xml:space="preserve">Nicméně do 17. dubna 2025 musí </w:t>
      </w:r>
      <w:r w:rsidRPr="00C644F7">
        <w:rPr>
          <w:rFonts w:ascii="Tahoma" w:hAnsi="Tahoma" w:cs="Tahoma"/>
          <w:sz w:val="22"/>
          <w:szCs w:val="22"/>
        </w:rPr>
        <w:t>všechny členské státy vytvořit seznamy výše zmíněných subjektů, na které se budou nové předpisy vztahovat</w:t>
      </w:r>
      <w:r w:rsidR="00A23C89" w:rsidRPr="00C644F7">
        <w:rPr>
          <w:rFonts w:ascii="Tahoma" w:hAnsi="Tahoma" w:cs="Tahoma"/>
          <w:sz w:val="22"/>
          <w:szCs w:val="22"/>
        </w:rPr>
        <w:t>.</w:t>
      </w:r>
      <w:r w:rsidR="00A23C89" w:rsidRPr="00C644F7">
        <w:rPr>
          <w:rFonts w:ascii="Tahoma" w:hAnsi="Tahoma" w:cs="Tahoma"/>
          <w:sz w:val="22"/>
          <w:szCs w:val="22"/>
        </w:rPr>
        <w:br/>
      </w:r>
      <w:r w:rsidR="00A23C89" w:rsidRPr="00C644F7">
        <w:rPr>
          <w:rFonts w:ascii="Tahoma" w:hAnsi="Tahoma" w:cs="Tahoma"/>
          <w:sz w:val="22"/>
          <w:szCs w:val="22"/>
        </w:rPr>
        <w:br/>
      </w:r>
      <w:r w:rsidR="00C644F7" w:rsidRPr="00C644F7">
        <w:rPr>
          <w:rFonts w:ascii="Tahoma" w:hAnsi="Tahoma" w:cs="Tahoma"/>
          <w:sz w:val="22"/>
          <w:szCs w:val="22"/>
        </w:rPr>
        <w:t xml:space="preserve">Vítaným pomocníkem, jak ověřit, zda </w:t>
      </w:r>
      <w:r w:rsidR="00537FBD">
        <w:rPr>
          <w:rFonts w:ascii="Tahoma" w:hAnsi="Tahoma" w:cs="Tahoma"/>
          <w:sz w:val="22"/>
          <w:szCs w:val="22"/>
        </w:rPr>
        <w:t xml:space="preserve">bude mít na konkrétní společnost směrnice </w:t>
      </w:r>
      <w:r w:rsidR="00C644F7" w:rsidRPr="00C644F7">
        <w:rPr>
          <w:rFonts w:ascii="Tahoma" w:hAnsi="Tahoma" w:cs="Tahoma"/>
          <w:sz w:val="22"/>
          <w:szCs w:val="22"/>
        </w:rPr>
        <w:t xml:space="preserve">NIS2 </w:t>
      </w:r>
      <w:r w:rsidR="00537FBD">
        <w:rPr>
          <w:rFonts w:ascii="Tahoma" w:hAnsi="Tahoma" w:cs="Tahoma"/>
          <w:sz w:val="22"/>
          <w:szCs w:val="22"/>
        </w:rPr>
        <w:t xml:space="preserve">dopad, </w:t>
      </w:r>
      <w:r w:rsidR="00C644F7" w:rsidRPr="00C644F7">
        <w:rPr>
          <w:rFonts w:ascii="Tahoma" w:hAnsi="Tahoma" w:cs="Tahoma"/>
          <w:sz w:val="22"/>
          <w:szCs w:val="22"/>
        </w:rPr>
        <w:t xml:space="preserve">může být web </w:t>
      </w:r>
      <w:hyperlink r:id="rId7" w:history="1">
        <w:r w:rsidR="00C644F7" w:rsidRPr="00FC0D2E">
          <w:rPr>
            <w:rStyle w:val="Hypertextovodkaz"/>
            <w:rFonts w:ascii="Tahoma" w:hAnsi="Tahoma" w:cs="Tahoma"/>
            <w:sz w:val="22"/>
            <w:szCs w:val="22"/>
          </w:rPr>
          <w:t>https://portal.nukib.gov.cz/</w:t>
        </w:r>
      </w:hyperlink>
      <w:r w:rsidR="00C644F7" w:rsidRPr="00C644F7">
        <w:rPr>
          <w:rFonts w:ascii="Tahoma" w:hAnsi="Tahoma" w:cs="Tahoma"/>
          <w:sz w:val="22"/>
          <w:szCs w:val="22"/>
        </w:rPr>
        <w:t xml:space="preserve">. </w:t>
      </w:r>
      <w:r w:rsidR="00C644F7">
        <w:rPr>
          <w:rFonts w:ascii="Tahoma" w:hAnsi="Tahoma" w:cs="Tahoma"/>
          <w:sz w:val="22"/>
          <w:szCs w:val="22"/>
        </w:rPr>
        <w:t xml:space="preserve">Tyto stránky provozuje </w:t>
      </w:r>
      <w:r w:rsidR="00C644F7" w:rsidRPr="00C644F7">
        <w:rPr>
          <w:rFonts w:ascii="Tahoma" w:hAnsi="Tahoma" w:cs="Tahoma"/>
          <w:sz w:val="22"/>
          <w:szCs w:val="22"/>
        </w:rPr>
        <w:t>Národního úřadu pro kybernetickou bezpečnost a informace, který je v ČR odpovědný za transpozici NIS2 do české legislativy</w:t>
      </w:r>
      <w:r w:rsidR="00C644F7">
        <w:rPr>
          <w:rFonts w:ascii="Tahoma" w:hAnsi="Tahoma" w:cs="Tahoma"/>
          <w:sz w:val="22"/>
          <w:szCs w:val="22"/>
        </w:rPr>
        <w:t xml:space="preserve">. Na webu najdete nejen </w:t>
      </w:r>
      <w:r w:rsidR="00C644F7" w:rsidRPr="00C644F7">
        <w:rPr>
          <w:rFonts w:ascii="Tahoma" w:hAnsi="Tahoma" w:cs="Tahoma"/>
          <w:sz w:val="22"/>
          <w:szCs w:val="22"/>
        </w:rPr>
        <w:t xml:space="preserve">informace o aktuálním stavu implementace </w:t>
      </w:r>
      <w:r w:rsidR="00537FBD">
        <w:rPr>
          <w:rFonts w:ascii="Tahoma" w:hAnsi="Tahoma" w:cs="Tahoma"/>
          <w:sz w:val="22"/>
          <w:szCs w:val="22"/>
        </w:rPr>
        <w:t>směrnice</w:t>
      </w:r>
      <w:r w:rsidR="00C644F7" w:rsidRPr="00C644F7">
        <w:rPr>
          <w:rFonts w:ascii="Tahoma" w:hAnsi="Tahoma" w:cs="Tahoma"/>
          <w:sz w:val="22"/>
          <w:szCs w:val="22"/>
        </w:rPr>
        <w:t xml:space="preserve">, ale také </w:t>
      </w:r>
      <w:r w:rsidR="00C644F7">
        <w:rPr>
          <w:rFonts w:ascii="Tahoma" w:hAnsi="Tahoma" w:cs="Tahoma"/>
          <w:sz w:val="22"/>
          <w:szCs w:val="22"/>
        </w:rPr>
        <w:t>„</w:t>
      </w:r>
      <w:r w:rsidR="00C644F7" w:rsidRPr="00C644F7">
        <w:rPr>
          <w:rFonts w:ascii="Tahoma" w:hAnsi="Tahoma" w:cs="Tahoma"/>
          <w:sz w:val="22"/>
          <w:szCs w:val="22"/>
        </w:rPr>
        <w:t xml:space="preserve">kalkulačku”, která vám pomůže zjistit, zda se na vás NIS2 bude vztahovat. </w:t>
      </w:r>
    </w:p>
    <w:p w14:paraId="155F3C00" w14:textId="3910F1A7" w:rsidR="00002F47" w:rsidRPr="00C644F7" w:rsidRDefault="00002F47" w:rsidP="00002F47">
      <w:pPr>
        <w:rPr>
          <w:rFonts w:ascii="Tahoma" w:hAnsi="Tahoma" w:cs="Tahoma"/>
          <w:sz w:val="22"/>
          <w:szCs w:val="22"/>
        </w:rPr>
      </w:pPr>
    </w:p>
    <w:p w14:paraId="018D9655" w14:textId="77777777" w:rsidR="00002F47" w:rsidRPr="00D97495" w:rsidRDefault="00002F47" w:rsidP="00002F47">
      <w:pPr>
        <w:rPr>
          <w:rFonts w:ascii="Tahoma" w:hAnsi="Tahoma" w:cs="Tahoma"/>
          <w:sz w:val="22"/>
          <w:szCs w:val="22"/>
        </w:rPr>
      </w:pPr>
      <w:r w:rsidRPr="00C644F7">
        <w:rPr>
          <w:rFonts w:ascii="Tahoma" w:hAnsi="Tahoma" w:cs="Tahoma"/>
          <w:sz w:val="22"/>
          <w:szCs w:val="22"/>
        </w:rPr>
        <w:t>Při řešení kybernetické bezpečnosti jde o implementaci systému řízení kybernetické bezpečnosti</w:t>
      </w:r>
      <w:r w:rsidRPr="00D97495">
        <w:rPr>
          <w:rFonts w:ascii="Tahoma" w:hAnsi="Tahoma" w:cs="Tahoma"/>
          <w:sz w:val="22"/>
          <w:szCs w:val="22"/>
        </w:rPr>
        <w:t xml:space="preserve"> a vždy byste měli mít na paměti:</w:t>
      </w:r>
    </w:p>
    <w:p w14:paraId="59AAEEF4" w14:textId="39F5D5FA" w:rsidR="006E7A6A" w:rsidRPr="00D97495" w:rsidRDefault="00002F47" w:rsidP="00002F47">
      <w:pPr>
        <w:pStyle w:val="Odstavecseseznamem"/>
        <w:numPr>
          <w:ilvl w:val="0"/>
          <w:numId w:val="1"/>
        </w:numPr>
        <w:rPr>
          <w:rFonts w:ascii="Tahoma" w:hAnsi="Tahoma" w:cs="Tahoma"/>
          <w:sz w:val="22"/>
          <w:szCs w:val="22"/>
        </w:rPr>
      </w:pPr>
      <w:r w:rsidRPr="00D97495">
        <w:rPr>
          <w:rFonts w:ascii="Tahoma" w:hAnsi="Tahoma" w:cs="Tahoma"/>
          <w:sz w:val="22"/>
          <w:szCs w:val="22"/>
        </w:rPr>
        <w:t>stupeň rizika</w:t>
      </w:r>
      <w:r w:rsidR="00537FBD">
        <w:rPr>
          <w:rFonts w:ascii="Tahoma" w:hAnsi="Tahoma" w:cs="Tahoma"/>
          <w:sz w:val="22"/>
          <w:szCs w:val="22"/>
        </w:rPr>
        <w:t>,</w:t>
      </w:r>
    </w:p>
    <w:p w14:paraId="4CC2F052" w14:textId="60CEA3D7" w:rsidR="006E7A6A" w:rsidRPr="00D97495" w:rsidRDefault="00002F47" w:rsidP="00002F47">
      <w:pPr>
        <w:pStyle w:val="Odstavecseseznamem"/>
        <w:numPr>
          <w:ilvl w:val="0"/>
          <w:numId w:val="1"/>
        </w:numPr>
        <w:rPr>
          <w:rFonts w:ascii="Tahoma" w:hAnsi="Tahoma" w:cs="Tahoma"/>
          <w:sz w:val="22"/>
          <w:szCs w:val="22"/>
        </w:rPr>
      </w:pPr>
      <w:r w:rsidRPr="00D97495">
        <w:rPr>
          <w:rFonts w:ascii="Tahoma" w:hAnsi="Tahoma" w:cs="Tahoma"/>
          <w:sz w:val="22"/>
          <w:szCs w:val="22"/>
        </w:rPr>
        <w:t>míru hrozících</w:t>
      </w:r>
      <w:r w:rsidR="00537FBD">
        <w:rPr>
          <w:rFonts w:ascii="Tahoma" w:hAnsi="Tahoma" w:cs="Tahoma"/>
          <w:sz w:val="22"/>
          <w:szCs w:val="22"/>
        </w:rPr>
        <w:t xml:space="preserve"> </w:t>
      </w:r>
      <w:r w:rsidRPr="00D97495">
        <w:rPr>
          <w:rFonts w:ascii="Tahoma" w:hAnsi="Tahoma" w:cs="Tahoma"/>
          <w:sz w:val="22"/>
          <w:szCs w:val="22"/>
        </w:rPr>
        <w:t>následků</w:t>
      </w:r>
      <w:r w:rsidR="00537FBD">
        <w:rPr>
          <w:rFonts w:ascii="Tahoma" w:hAnsi="Tahoma" w:cs="Tahoma"/>
          <w:sz w:val="22"/>
          <w:szCs w:val="22"/>
        </w:rPr>
        <w:t>,</w:t>
      </w:r>
    </w:p>
    <w:p w14:paraId="33533752" w14:textId="249AE369" w:rsidR="006E7A6A" w:rsidRPr="00D97495" w:rsidRDefault="00002F47" w:rsidP="00002F47">
      <w:pPr>
        <w:pStyle w:val="Odstavecseseznamem"/>
        <w:numPr>
          <w:ilvl w:val="0"/>
          <w:numId w:val="1"/>
        </w:numPr>
        <w:rPr>
          <w:rFonts w:ascii="Tahoma" w:hAnsi="Tahoma" w:cs="Tahoma"/>
          <w:sz w:val="22"/>
          <w:szCs w:val="22"/>
        </w:rPr>
      </w:pPr>
      <w:r w:rsidRPr="00D97495">
        <w:rPr>
          <w:rFonts w:ascii="Tahoma" w:hAnsi="Tahoma" w:cs="Tahoma"/>
          <w:sz w:val="22"/>
          <w:szCs w:val="22"/>
        </w:rPr>
        <w:t>rozpočet, který je k</w:t>
      </w:r>
      <w:r w:rsidR="00537FBD">
        <w:rPr>
          <w:rFonts w:ascii="Tahoma" w:hAnsi="Tahoma" w:cs="Tahoma"/>
          <w:sz w:val="22"/>
          <w:szCs w:val="22"/>
        </w:rPr>
        <w:t> </w:t>
      </w:r>
      <w:r w:rsidRPr="00D97495">
        <w:rPr>
          <w:rFonts w:ascii="Tahoma" w:hAnsi="Tahoma" w:cs="Tahoma"/>
          <w:sz w:val="22"/>
          <w:szCs w:val="22"/>
        </w:rPr>
        <w:t>dispozici</w:t>
      </w:r>
      <w:r w:rsidR="00537FBD">
        <w:rPr>
          <w:rFonts w:ascii="Tahoma" w:hAnsi="Tahoma" w:cs="Tahoma"/>
          <w:sz w:val="22"/>
          <w:szCs w:val="22"/>
        </w:rPr>
        <w:t>,</w:t>
      </w:r>
    </w:p>
    <w:p w14:paraId="56BD4B07" w14:textId="587C4AEC" w:rsidR="00002F47" w:rsidRPr="00D97495" w:rsidRDefault="00002F47" w:rsidP="00002F47">
      <w:pPr>
        <w:pStyle w:val="Odstavecseseznamem"/>
        <w:numPr>
          <w:ilvl w:val="0"/>
          <w:numId w:val="1"/>
        </w:numPr>
        <w:rPr>
          <w:rFonts w:ascii="Tahoma" w:hAnsi="Tahoma" w:cs="Tahoma"/>
          <w:sz w:val="22"/>
          <w:szCs w:val="22"/>
        </w:rPr>
      </w:pPr>
      <w:r w:rsidRPr="00D97495">
        <w:rPr>
          <w:rFonts w:ascii="Tahoma" w:hAnsi="Tahoma" w:cs="Tahoma"/>
          <w:sz w:val="22"/>
          <w:szCs w:val="22"/>
        </w:rPr>
        <w:t>přiměřenost.</w:t>
      </w:r>
    </w:p>
    <w:p w14:paraId="4F8F2A74" w14:textId="77777777" w:rsidR="00D97495" w:rsidRDefault="00D97495" w:rsidP="00002F47">
      <w:pPr>
        <w:rPr>
          <w:rFonts w:ascii="Tahoma" w:hAnsi="Tahoma" w:cs="Tahoma"/>
          <w:b/>
          <w:bCs/>
          <w:sz w:val="22"/>
          <w:szCs w:val="22"/>
        </w:rPr>
      </w:pPr>
    </w:p>
    <w:p w14:paraId="246F5324" w14:textId="77777777" w:rsidR="00537FBD" w:rsidRDefault="00537FBD" w:rsidP="00002F47">
      <w:pPr>
        <w:rPr>
          <w:rFonts w:ascii="Tahoma" w:hAnsi="Tahoma" w:cs="Tahoma"/>
          <w:b/>
          <w:bCs/>
          <w:sz w:val="22"/>
          <w:szCs w:val="22"/>
        </w:rPr>
      </w:pPr>
    </w:p>
    <w:p w14:paraId="36F43591" w14:textId="20FC2B17" w:rsidR="00002F47" w:rsidRPr="00D97495" w:rsidRDefault="00002F47" w:rsidP="00002F47">
      <w:pPr>
        <w:rPr>
          <w:rFonts w:ascii="Tahoma" w:hAnsi="Tahoma" w:cs="Tahoma"/>
          <w:b/>
          <w:bCs/>
          <w:sz w:val="22"/>
          <w:szCs w:val="22"/>
        </w:rPr>
      </w:pPr>
      <w:r w:rsidRPr="00D97495">
        <w:rPr>
          <w:rFonts w:ascii="Tahoma" w:hAnsi="Tahoma" w:cs="Tahoma"/>
          <w:b/>
          <w:bCs/>
          <w:sz w:val="22"/>
          <w:szCs w:val="22"/>
        </w:rPr>
        <w:lastRenderedPageBreak/>
        <w:t xml:space="preserve">NIS2 vs. </w:t>
      </w:r>
      <w:r w:rsidR="00261A7C" w:rsidRPr="00D97495">
        <w:rPr>
          <w:rFonts w:ascii="Tahoma" w:hAnsi="Tahoma" w:cs="Tahoma"/>
          <w:b/>
          <w:bCs/>
          <w:sz w:val="22"/>
          <w:szCs w:val="22"/>
        </w:rPr>
        <w:t xml:space="preserve">druhotný </w:t>
      </w:r>
      <w:r w:rsidRPr="00D97495">
        <w:rPr>
          <w:rFonts w:ascii="Tahoma" w:hAnsi="Tahoma" w:cs="Tahoma"/>
          <w:b/>
          <w:bCs/>
          <w:sz w:val="22"/>
          <w:szCs w:val="22"/>
        </w:rPr>
        <w:t>software</w:t>
      </w:r>
    </w:p>
    <w:p w14:paraId="51B7D657" w14:textId="670B8E05" w:rsidR="00002F47" w:rsidRPr="00D97495" w:rsidRDefault="005F4BB0" w:rsidP="00002F47">
      <w:pPr>
        <w:rPr>
          <w:rFonts w:ascii="Tahoma" w:hAnsi="Tahoma" w:cs="Tahoma"/>
          <w:sz w:val="22"/>
          <w:szCs w:val="22"/>
        </w:rPr>
      </w:pPr>
      <w:r w:rsidRPr="00D97495">
        <w:rPr>
          <w:rFonts w:ascii="Tahoma" w:hAnsi="Tahoma" w:cs="Tahoma"/>
          <w:sz w:val="22"/>
          <w:szCs w:val="22"/>
        </w:rPr>
        <w:t>Ve své podstatě NIS2 neomezuje využívání druhotného softwaru, pokud jsou splněny parametry, kter</w:t>
      </w:r>
      <w:r w:rsidR="006E7A6A" w:rsidRPr="00D97495">
        <w:rPr>
          <w:rFonts w:ascii="Tahoma" w:hAnsi="Tahoma" w:cs="Tahoma"/>
          <w:sz w:val="22"/>
          <w:szCs w:val="22"/>
        </w:rPr>
        <w:t>é</w:t>
      </w:r>
      <w:r w:rsidRPr="00D97495">
        <w:rPr>
          <w:rFonts w:ascii="Tahoma" w:hAnsi="Tahoma" w:cs="Tahoma"/>
          <w:sz w:val="22"/>
          <w:szCs w:val="22"/>
        </w:rPr>
        <w:t xml:space="preserve"> vyžaduje legislativ</w:t>
      </w:r>
      <w:r w:rsidR="006E7A6A" w:rsidRPr="00D97495">
        <w:rPr>
          <w:rFonts w:ascii="Tahoma" w:hAnsi="Tahoma" w:cs="Tahoma"/>
          <w:sz w:val="22"/>
          <w:szCs w:val="22"/>
        </w:rPr>
        <w:t>a</w:t>
      </w:r>
      <w:r w:rsidRPr="00D97495">
        <w:rPr>
          <w:rFonts w:ascii="Tahoma" w:hAnsi="Tahoma" w:cs="Tahoma"/>
          <w:sz w:val="22"/>
          <w:szCs w:val="22"/>
        </w:rPr>
        <w:t xml:space="preserve"> v této oblasti. </w:t>
      </w:r>
      <w:r w:rsidR="00002F47" w:rsidRPr="00D97495">
        <w:rPr>
          <w:rFonts w:ascii="Tahoma" w:hAnsi="Tahoma" w:cs="Tahoma"/>
          <w:sz w:val="22"/>
          <w:szCs w:val="22"/>
        </w:rPr>
        <w:t xml:space="preserve">Při výběru </w:t>
      </w:r>
      <w:r w:rsidR="00261A7C" w:rsidRPr="00D97495">
        <w:rPr>
          <w:rFonts w:ascii="Tahoma" w:hAnsi="Tahoma" w:cs="Tahoma"/>
          <w:sz w:val="22"/>
          <w:szCs w:val="22"/>
        </w:rPr>
        <w:t xml:space="preserve">druhotného </w:t>
      </w:r>
      <w:r w:rsidR="00002F47" w:rsidRPr="00D97495">
        <w:rPr>
          <w:rFonts w:ascii="Tahoma" w:hAnsi="Tahoma" w:cs="Tahoma"/>
          <w:sz w:val="22"/>
          <w:szCs w:val="22"/>
        </w:rPr>
        <w:t>softwaru, který</w:t>
      </w:r>
      <w:r w:rsidR="00261A7C" w:rsidRPr="00D97495">
        <w:rPr>
          <w:rFonts w:ascii="Tahoma" w:hAnsi="Tahoma" w:cs="Tahoma"/>
          <w:sz w:val="22"/>
          <w:szCs w:val="22"/>
        </w:rPr>
        <w:t>m lze</w:t>
      </w:r>
      <w:r w:rsidR="00002F47" w:rsidRPr="00D97495">
        <w:rPr>
          <w:rFonts w:ascii="Tahoma" w:hAnsi="Tahoma" w:cs="Tahoma"/>
          <w:sz w:val="22"/>
          <w:szCs w:val="22"/>
        </w:rPr>
        <w:t xml:space="preserve"> </w:t>
      </w:r>
      <w:r w:rsidR="00261A7C" w:rsidRPr="00D97495">
        <w:rPr>
          <w:rFonts w:ascii="Tahoma" w:hAnsi="Tahoma" w:cs="Tahoma"/>
          <w:sz w:val="22"/>
          <w:szCs w:val="22"/>
        </w:rPr>
        <w:t>dosáhnout</w:t>
      </w:r>
      <w:r w:rsidR="00002F47" w:rsidRPr="00D97495">
        <w:rPr>
          <w:rFonts w:ascii="Tahoma" w:hAnsi="Tahoma" w:cs="Tahoma"/>
          <w:sz w:val="22"/>
          <w:szCs w:val="22"/>
        </w:rPr>
        <w:t xml:space="preserve"> optimalizaci nákladů až do výše 70 procent ceny ve srovnání s nákupem softwaru přímo od výrobce, je </w:t>
      </w:r>
      <w:r w:rsidRPr="00D97495">
        <w:rPr>
          <w:rFonts w:ascii="Tahoma" w:hAnsi="Tahoma" w:cs="Tahoma"/>
          <w:sz w:val="22"/>
          <w:szCs w:val="22"/>
        </w:rPr>
        <w:t xml:space="preserve">ovšem </w:t>
      </w:r>
      <w:r w:rsidR="00002F47" w:rsidRPr="00D97495">
        <w:rPr>
          <w:rFonts w:ascii="Tahoma" w:hAnsi="Tahoma" w:cs="Tahoma"/>
          <w:sz w:val="22"/>
          <w:szCs w:val="22"/>
        </w:rPr>
        <w:t>třeba mít na paměti několik aspektů kybernetické bezpečnosti.</w:t>
      </w:r>
      <w:r w:rsidR="00261A7C" w:rsidRPr="00D97495">
        <w:rPr>
          <w:rFonts w:ascii="Tahoma" w:hAnsi="Tahoma" w:cs="Tahoma"/>
          <w:sz w:val="22"/>
          <w:szCs w:val="22"/>
        </w:rPr>
        <w:br/>
      </w:r>
    </w:p>
    <w:p w14:paraId="5DA6F968" w14:textId="074360AA" w:rsidR="00002F47" w:rsidRPr="00D97495" w:rsidRDefault="00DA1B0D" w:rsidP="00002F47">
      <w:pPr>
        <w:rPr>
          <w:rFonts w:ascii="Tahoma" w:hAnsi="Tahoma" w:cs="Tahoma"/>
          <w:sz w:val="22"/>
          <w:szCs w:val="22"/>
        </w:rPr>
      </w:pPr>
      <w:r w:rsidRPr="00D97495">
        <w:rPr>
          <w:rFonts w:ascii="Tahoma" w:hAnsi="Tahoma" w:cs="Tahoma"/>
          <w:i/>
          <w:iCs/>
          <w:sz w:val="22"/>
          <w:szCs w:val="22"/>
        </w:rPr>
        <w:t>„</w:t>
      </w:r>
      <w:r w:rsidR="0078178E" w:rsidRPr="00D97495">
        <w:rPr>
          <w:rFonts w:ascii="Tahoma" w:hAnsi="Tahoma" w:cs="Tahoma"/>
          <w:i/>
          <w:iCs/>
          <w:sz w:val="22"/>
          <w:szCs w:val="22"/>
        </w:rPr>
        <w:t>S</w:t>
      </w:r>
      <w:r w:rsidR="00002F47" w:rsidRPr="00D97495">
        <w:rPr>
          <w:rFonts w:ascii="Tahoma" w:hAnsi="Tahoma" w:cs="Tahoma"/>
          <w:i/>
          <w:iCs/>
          <w:sz w:val="22"/>
          <w:szCs w:val="22"/>
        </w:rPr>
        <w:t>naž</w:t>
      </w:r>
      <w:r w:rsidR="0078178E" w:rsidRPr="00D97495">
        <w:rPr>
          <w:rFonts w:ascii="Tahoma" w:hAnsi="Tahoma" w:cs="Tahoma"/>
          <w:i/>
          <w:iCs/>
          <w:sz w:val="22"/>
          <w:szCs w:val="22"/>
        </w:rPr>
        <w:t>te se</w:t>
      </w:r>
      <w:r w:rsidR="00002F47" w:rsidRPr="00D97495">
        <w:rPr>
          <w:rFonts w:ascii="Tahoma" w:hAnsi="Tahoma" w:cs="Tahoma"/>
          <w:i/>
          <w:iCs/>
          <w:sz w:val="22"/>
          <w:szCs w:val="22"/>
        </w:rPr>
        <w:t xml:space="preserve"> používat software, jehož životní cyklus produktu neskončil. To znamená, že pro takový produkt výrobce stále poskytuje nejnovější aktualizace ovlivňující mimo jiné vylepšenou kybernetickou bezpečnost.</w:t>
      </w:r>
      <w:r w:rsidRPr="00D97495">
        <w:rPr>
          <w:rFonts w:ascii="Tahoma" w:hAnsi="Tahoma" w:cs="Tahoma"/>
          <w:i/>
          <w:iCs/>
          <w:sz w:val="22"/>
          <w:szCs w:val="22"/>
        </w:rPr>
        <w:t xml:space="preserve"> </w:t>
      </w:r>
      <w:r w:rsidR="00002F47" w:rsidRPr="00D97495">
        <w:rPr>
          <w:rFonts w:ascii="Tahoma" w:hAnsi="Tahoma" w:cs="Tahoma"/>
          <w:i/>
          <w:iCs/>
          <w:sz w:val="22"/>
          <w:szCs w:val="22"/>
        </w:rPr>
        <w:t xml:space="preserve">Tento cyklus někdy trvá </w:t>
      </w:r>
      <w:r w:rsidRPr="00D97495">
        <w:rPr>
          <w:rFonts w:ascii="Tahoma" w:hAnsi="Tahoma" w:cs="Tahoma"/>
          <w:i/>
          <w:iCs/>
          <w:sz w:val="22"/>
          <w:szCs w:val="22"/>
        </w:rPr>
        <w:t>přes</w:t>
      </w:r>
      <w:r w:rsidR="00002F47" w:rsidRPr="00D97495">
        <w:rPr>
          <w:rFonts w:ascii="Tahoma" w:hAnsi="Tahoma" w:cs="Tahoma"/>
          <w:i/>
          <w:iCs/>
          <w:sz w:val="22"/>
          <w:szCs w:val="22"/>
        </w:rPr>
        <w:t xml:space="preserve"> </w:t>
      </w:r>
      <w:r w:rsidRPr="00D97495">
        <w:rPr>
          <w:rFonts w:ascii="Tahoma" w:hAnsi="Tahoma" w:cs="Tahoma"/>
          <w:i/>
          <w:iCs/>
          <w:sz w:val="22"/>
          <w:szCs w:val="22"/>
        </w:rPr>
        <w:t>deset</w:t>
      </w:r>
      <w:r w:rsidR="00002F47" w:rsidRPr="00D97495">
        <w:rPr>
          <w:rFonts w:ascii="Tahoma" w:hAnsi="Tahoma" w:cs="Tahoma"/>
          <w:i/>
          <w:iCs/>
          <w:sz w:val="22"/>
          <w:szCs w:val="22"/>
        </w:rPr>
        <w:t xml:space="preserve"> let, ale vždy se vyplatí požádat softwarového </w:t>
      </w:r>
      <w:r w:rsidR="0078178E" w:rsidRPr="00D97495">
        <w:rPr>
          <w:rFonts w:ascii="Tahoma" w:hAnsi="Tahoma" w:cs="Tahoma"/>
          <w:i/>
          <w:iCs/>
          <w:sz w:val="22"/>
          <w:szCs w:val="22"/>
        </w:rPr>
        <w:t>brokera</w:t>
      </w:r>
      <w:r w:rsidRPr="00D97495">
        <w:rPr>
          <w:rFonts w:ascii="Tahoma" w:hAnsi="Tahoma" w:cs="Tahoma"/>
          <w:i/>
          <w:iCs/>
          <w:sz w:val="22"/>
          <w:szCs w:val="22"/>
        </w:rPr>
        <w:t>, jako je Forscope,</w:t>
      </w:r>
      <w:r w:rsidR="00002F47" w:rsidRPr="00D97495">
        <w:rPr>
          <w:rFonts w:ascii="Tahoma" w:hAnsi="Tahoma" w:cs="Tahoma"/>
          <w:i/>
          <w:iCs/>
          <w:sz w:val="22"/>
          <w:szCs w:val="22"/>
        </w:rPr>
        <w:t xml:space="preserve"> o podrobnosti a odbornou pomoc. </w:t>
      </w:r>
      <w:r w:rsidR="0078178E" w:rsidRPr="00D97495">
        <w:rPr>
          <w:rFonts w:ascii="Tahoma" w:hAnsi="Tahoma" w:cs="Tahoma"/>
          <w:i/>
          <w:iCs/>
          <w:sz w:val="22"/>
          <w:szCs w:val="22"/>
        </w:rPr>
        <w:t xml:space="preserve">Ideální je, pokud </w:t>
      </w:r>
      <w:r w:rsidR="00002F47" w:rsidRPr="00D97495">
        <w:rPr>
          <w:rFonts w:ascii="Tahoma" w:hAnsi="Tahoma" w:cs="Tahoma"/>
          <w:i/>
          <w:iCs/>
          <w:sz w:val="22"/>
          <w:szCs w:val="22"/>
        </w:rPr>
        <w:t>vybraný broker nabíz</w:t>
      </w:r>
      <w:r w:rsidR="0078178E" w:rsidRPr="00D97495">
        <w:rPr>
          <w:rFonts w:ascii="Tahoma" w:hAnsi="Tahoma" w:cs="Tahoma"/>
          <w:i/>
          <w:iCs/>
          <w:sz w:val="22"/>
          <w:szCs w:val="22"/>
        </w:rPr>
        <w:t>í</w:t>
      </w:r>
      <w:r w:rsidR="00002F47" w:rsidRPr="00D97495">
        <w:rPr>
          <w:rFonts w:ascii="Tahoma" w:hAnsi="Tahoma" w:cs="Tahoma"/>
          <w:i/>
          <w:iCs/>
          <w:sz w:val="22"/>
          <w:szCs w:val="22"/>
        </w:rPr>
        <w:t xml:space="preserve"> rozšířenou škálu podpory, včetně technických, licenčních, compliance a právních služeb</w:t>
      </w:r>
      <w:r w:rsidRPr="00D97495">
        <w:rPr>
          <w:rFonts w:ascii="Tahoma" w:hAnsi="Tahoma" w:cs="Tahoma"/>
          <w:i/>
          <w:iCs/>
          <w:sz w:val="22"/>
          <w:szCs w:val="22"/>
        </w:rPr>
        <w:t>.</w:t>
      </w:r>
      <w:r w:rsidR="00002F47" w:rsidRPr="00D97495">
        <w:rPr>
          <w:rFonts w:ascii="Tahoma" w:hAnsi="Tahoma" w:cs="Tahoma"/>
          <w:i/>
          <w:iCs/>
          <w:sz w:val="22"/>
          <w:szCs w:val="22"/>
        </w:rPr>
        <w:t xml:space="preserve"> </w:t>
      </w:r>
      <w:r w:rsidRPr="00D97495">
        <w:rPr>
          <w:rFonts w:ascii="Tahoma" w:hAnsi="Tahoma" w:cs="Tahoma"/>
          <w:i/>
          <w:iCs/>
          <w:sz w:val="22"/>
          <w:szCs w:val="22"/>
        </w:rPr>
        <w:t>Důvěryhodný broker by tohle měl být schopen nabídnout</w:t>
      </w:r>
      <w:r w:rsidR="00D97495">
        <w:rPr>
          <w:rFonts w:ascii="Tahoma" w:hAnsi="Tahoma" w:cs="Tahoma"/>
          <w:i/>
          <w:iCs/>
          <w:sz w:val="22"/>
          <w:szCs w:val="22"/>
        </w:rPr>
        <w:t>,</w:t>
      </w:r>
      <w:r w:rsidRPr="00D97495">
        <w:rPr>
          <w:rFonts w:ascii="Tahoma" w:hAnsi="Tahoma" w:cs="Tahoma"/>
          <w:i/>
          <w:iCs/>
          <w:sz w:val="22"/>
          <w:szCs w:val="22"/>
        </w:rPr>
        <w:t xml:space="preserve">“ </w:t>
      </w:r>
      <w:r w:rsidR="00F55415" w:rsidRPr="00D97495">
        <w:rPr>
          <w:rFonts w:ascii="Tahoma" w:hAnsi="Tahoma" w:cs="Tahoma"/>
          <w:sz w:val="22"/>
          <w:szCs w:val="22"/>
        </w:rPr>
        <w:t xml:space="preserve">doporučuje </w:t>
      </w:r>
      <w:r w:rsidR="00F55415" w:rsidRPr="00D97495">
        <w:rPr>
          <w:rFonts w:ascii="Tahoma" w:hAnsi="Tahoma" w:cs="Tahoma"/>
          <w:b/>
          <w:bCs/>
          <w:sz w:val="22"/>
          <w:szCs w:val="22"/>
        </w:rPr>
        <w:t xml:space="preserve">Michal Baudyš, Public Sector Strategy Leader </w:t>
      </w:r>
      <w:r w:rsidR="006E7A6A" w:rsidRPr="00D97495">
        <w:rPr>
          <w:rFonts w:ascii="Tahoma" w:hAnsi="Tahoma" w:cs="Tahoma"/>
          <w:b/>
          <w:bCs/>
          <w:sz w:val="22"/>
          <w:szCs w:val="22"/>
        </w:rPr>
        <w:t>pro</w:t>
      </w:r>
      <w:r w:rsidR="00F55415" w:rsidRPr="00D97495">
        <w:rPr>
          <w:rFonts w:ascii="Tahoma" w:hAnsi="Tahoma" w:cs="Tahoma"/>
          <w:b/>
          <w:bCs/>
          <w:sz w:val="22"/>
          <w:szCs w:val="22"/>
        </w:rPr>
        <w:t xml:space="preserve"> </w:t>
      </w:r>
      <w:r w:rsidR="00D97495" w:rsidRPr="00D97495">
        <w:rPr>
          <w:rFonts w:ascii="Tahoma" w:hAnsi="Tahoma" w:cs="Tahoma"/>
          <w:b/>
          <w:bCs/>
          <w:sz w:val="22"/>
          <w:szCs w:val="22"/>
        </w:rPr>
        <w:t>trhy v</w:t>
      </w:r>
      <w:r w:rsidR="00D97495">
        <w:rPr>
          <w:rFonts w:ascii="Tahoma" w:hAnsi="Tahoma" w:cs="Tahoma"/>
          <w:b/>
          <w:bCs/>
          <w:sz w:val="22"/>
          <w:szCs w:val="22"/>
        </w:rPr>
        <w:t> </w:t>
      </w:r>
      <w:r w:rsidR="00F55415" w:rsidRPr="00D97495">
        <w:rPr>
          <w:rFonts w:ascii="Tahoma" w:hAnsi="Tahoma" w:cs="Tahoma"/>
          <w:b/>
          <w:bCs/>
          <w:sz w:val="22"/>
          <w:szCs w:val="22"/>
        </w:rPr>
        <w:t>EU</w:t>
      </w:r>
      <w:r w:rsidR="00D97495">
        <w:rPr>
          <w:rFonts w:ascii="Tahoma" w:hAnsi="Tahoma" w:cs="Tahoma"/>
          <w:b/>
          <w:bCs/>
          <w:sz w:val="22"/>
          <w:szCs w:val="22"/>
        </w:rPr>
        <w:t xml:space="preserve"> společnosti Forscope</w:t>
      </w:r>
      <w:r w:rsidR="00D97495" w:rsidRPr="00D97495">
        <w:rPr>
          <w:rFonts w:ascii="Tahoma" w:hAnsi="Tahoma" w:cs="Tahoma"/>
          <w:sz w:val="22"/>
          <w:szCs w:val="22"/>
        </w:rPr>
        <w:t>.</w:t>
      </w:r>
    </w:p>
    <w:p w14:paraId="3FD6A1C0" w14:textId="77777777" w:rsidR="0078178E" w:rsidRPr="00D97495" w:rsidRDefault="0078178E" w:rsidP="00002F47">
      <w:pPr>
        <w:rPr>
          <w:rFonts w:ascii="Tahoma" w:hAnsi="Tahoma" w:cs="Tahoma"/>
          <w:sz w:val="22"/>
          <w:szCs w:val="22"/>
        </w:rPr>
      </w:pPr>
    </w:p>
    <w:p w14:paraId="7E014FCE" w14:textId="77777777" w:rsidR="006E7A6A" w:rsidRPr="00D97495" w:rsidRDefault="0078178E" w:rsidP="00002F47">
      <w:pPr>
        <w:rPr>
          <w:rFonts w:ascii="Tahoma" w:hAnsi="Tahoma" w:cs="Tahoma"/>
          <w:sz w:val="22"/>
          <w:szCs w:val="22"/>
        </w:rPr>
      </w:pPr>
      <w:r w:rsidRPr="00D97495">
        <w:rPr>
          <w:rFonts w:ascii="Tahoma" w:hAnsi="Tahoma" w:cs="Tahoma"/>
          <w:sz w:val="22"/>
          <w:szCs w:val="22"/>
        </w:rPr>
        <w:t>Zde si připomeňme, že ž</w:t>
      </w:r>
      <w:r w:rsidR="00002F47" w:rsidRPr="00D97495">
        <w:rPr>
          <w:rFonts w:ascii="Tahoma" w:hAnsi="Tahoma" w:cs="Tahoma"/>
          <w:sz w:val="22"/>
          <w:szCs w:val="22"/>
        </w:rPr>
        <w:t>ivotní cyklus softwaru se obvykle skládá ze čtyř fází:</w:t>
      </w:r>
    </w:p>
    <w:p w14:paraId="6189CF4D" w14:textId="68CF9019" w:rsidR="006E7A6A" w:rsidRPr="00D97495" w:rsidRDefault="00494368" w:rsidP="00002F47">
      <w:pPr>
        <w:pStyle w:val="Odstavecseseznamem"/>
        <w:numPr>
          <w:ilvl w:val="0"/>
          <w:numId w:val="3"/>
        </w:numPr>
        <w:rPr>
          <w:rFonts w:ascii="Tahoma" w:hAnsi="Tahoma" w:cs="Tahoma"/>
          <w:sz w:val="22"/>
          <w:szCs w:val="22"/>
        </w:rPr>
      </w:pPr>
      <w:r>
        <w:rPr>
          <w:rFonts w:ascii="Tahoma" w:hAnsi="Tahoma" w:cs="Tahoma"/>
          <w:sz w:val="22"/>
          <w:szCs w:val="22"/>
        </w:rPr>
        <w:t xml:space="preserve">1. </w:t>
      </w:r>
      <w:r w:rsidR="006E7A6A" w:rsidRPr="00D97495">
        <w:rPr>
          <w:rFonts w:ascii="Tahoma" w:hAnsi="Tahoma" w:cs="Tahoma"/>
          <w:sz w:val="22"/>
          <w:szCs w:val="22"/>
        </w:rPr>
        <w:t>fáze – plná</w:t>
      </w:r>
      <w:r w:rsidR="00002F47" w:rsidRPr="00D97495">
        <w:rPr>
          <w:rFonts w:ascii="Tahoma" w:hAnsi="Tahoma" w:cs="Tahoma"/>
          <w:sz w:val="22"/>
          <w:szCs w:val="22"/>
        </w:rPr>
        <w:t xml:space="preserve"> podpora</w:t>
      </w:r>
      <w:r w:rsidR="007013EC" w:rsidRPr="00D97495">
        <w:rPr>
          <w:rFonts w:ascii="Tahoma" w:hAnsi="Tahoma" w:cs="Tahoma"/>
          <w:sz w:val="22"/>
          <w:szCs w:val="22"/>
        </w:rPr>
        <w:t>.</w:t>
      </w:r>
      <w:r w:rsidR="00002F47" w:rsidRPr="00D97495">
        <w:rPr>
          <w:rFonts w:ascii="Tahoma" w:hAnsi="Tahoma" w:cs="Tahoma"/>
          <w:sz w:val="22"/>
          <w:szCs w:val="22"/>
        </w:rPr>
        <w:t xml:space="preserve"> </w:t>
      </w:r>
      <w:r w:rsidR="006E7A6A" w:rsidRPr="00D97495">
        <w:rPr>
          <w:rFonts w:ascii="Tahoma" w:hAnsi="Tahoma" w:cs="Tahoma"/>
          <w:sz w:val="22"/>
          <w:szCs w:val="22"/>
        </w:rPr>
        <w:t>Softwarové aktualizace</w:t>
      </w:r>
      <w:r w:rsidR="00002F47" w:rsidRPr="00D97495">
        <w:rPr>
          <w:rFonts w:ascii="Tahoma" w:hAnsi="Tahoma" w:cs="Tahoma"/>
          <w:sz w:val="22"/>
          <w:szCs w:val="22"/>
        </w:rPr>
        <w:t xml:space="preserve"> pokrývající jak bezpečnostní problémy, tak další oblasti</w:t>
      </w:r>
      <w:r w:rsidR="007013EC" w:rsidRPr="00D97495">
        <w:rPr>
          <w:rFonts w:ascii="Tahoma" w:hAnsi="Tahoma" w:cs="Tahoma"/>
          <w:sz w:val="22"/>
          <w:szCs w:val="22"/>
        </w:rPr>
        <w:t xml:space="preserve"> jako je vylepšování funkcionality apod.</w:t>
      </w:r>
      <w:r w:rsidR="00002F47" w:rsidRPr="00D97495">
        <w:rPr>
          <w:rFonts w:ascii="Tahoma" w:hAnsi="Tahoma" w:cs="Tahoma"/>
          <w:sz w:val="22"/>
          <w:szCs w:val="22"/>
        </w:rPr>
        <w:t xml:space="preserve"> a umožňuje</w:t>
      </w:r>
      <w:r w:rsidR="007013EC" w:rsidRPr="00D97495">
        <w:rPr>
          <w:rFonts w:ascii="Tahoma" w:hAnsi="Tahoma" w:cs="Tahoma"/>
          <w:sz w:val="22"/>
          <w:szCs w:val="22"/>
        </w:rPr>
        <w:t xml:space="preserve"> vznést</w:t>
      </w:r>
      <w:r w:rsidR="00002F47" w:rsidRPr="00D97495">
        <w:rPr>
          <w:rFonts w:ascii="Tahoma" w:hAnsi="Tahoma" w:cs="Tahoma"/>
          <w:sz w:val="22"/>
          <w:szCs w:val="22"/>
        </w:rPr>
        <w:t xml:space="preserve"> </w:t>
      </w:r>
      <w:r w:rsidR="007013EC" w:rsidRPr="00D97495">
        <w:rPr>
          <w:rFonts w:ascii="Tahoma" w:hAnsi="Tahoma" w:cs="Tahoma"/>
          <w:sz w:val="22"/>
          <w:szCs w:val="22"/>
        </w:rPr>
        <w:t xml:space="preserve">na výrobce </w:t>
      </w:r>
      <w:r w:rsidR="00002F47" w:rsidRPr="00D97495">
        <w:rPr>
          <w:rFonts w:ascii="Tahoma" w:hAnsi="Tahoma" w:cs="Tahoma"/>
          <w:sz w:val="22"/>
          <w:szCs w:val="22"/>
        </w:rPr>
        <w:t xml:space="preserve">požadavky na </w:t>
      </w:r>
      <w:r w:rsidR="007013EC" w:rsidRPr="00D97495">
        <w:rPr>
          <w:rFonts w:ascii="Tahoma" w:hAnsi="Tahoma" w:cs="Tahoma"/>
          <w:sz w:val="22"/>
          <w:szCs w:val="22"/>
        </w:rPr>
        <w:t>úpravy</w:t>
      </w:r>
      <w:r w:rsidR="00002F47" w:rsidRPr="00D97495">
        <w:rPr>
          <w:rFonts w:ascii="Tahoma" w:hAnsi="Tahoma" w:cs="Tahoma"/>
          <w:sz w:val="22"/>
          <w:szCs w:val="22"/>
        </w:rPr>
        <w:t xml:space="preserve"> </w:t>
      </w:r>
      <w:r w:rsidR="007013EC" w:rsidRPr="00D97495">
        <w:rPr>
          <w:rFonts w:ascii="Tahoma" w:hAnsi="Tahoma" w:cs="Tahoma"/>
          <w:sz w:val="22"/>
          <w:szCs w:val="22"/>
        </w:rPr>
        <w:t>a</w:t>
      </w:r>
      <w:r w:rsidR="00002F47" w:rsidRPr="00D97495">
        <w:rPr>
          <w:rFonts w:ascii="Tahoma" w:hAnsi="Tahoma" w:cs="Tahoma"/>
          <w:sz w:val="22"/>
          <w:szCs w:val="22"/>
        </w:rPr>
        <w:t xml:space="preserve"> funkc</w:t>
      </w:r>
      <w:r w:rsidR="007013EC" w:rsidRPr="00D97495">
        <w:rPr>
          <w:rFonts w:ascii="Tahoma" w:hAnsi="Tahoma" w:cs="Tahoma"/>
          <w:sz w:val="22"/>
          <w:szCs w:val="22"/>
        </w:rPr>
        <w:t>e</w:t>
      </w:r>
      <w:r w:rsidR="00002F47" w:rsidRPr="00D97495">
        <w:rPr>
          <w:rFonts w:ascii="Tahoma" w:hAnsi="Tahoma" w:cs="Tahoma"/>
          <w:sz w:val="22"/>
          <w:szCs w:val="22"/>
        </w:rPr>
        <w:t>.</w:t>
      </w:r>
    </w:p>
    <w:p w14:paraId="0D6ED5DB" w14:textId="1E7F6923" w:rsidR="006E7A6A" w:rsidRPr="00D97495" w:rsidRDefault="00494368" w:rsidP="00002F47">
      <w:pPr>
        <w:pStyle w:val="Odstavecseseznamem"/>
        <w:numPr>
          <w:ilvl w:val="0"/>
          <w:numId w:val="3"/>
        </w:numPr>
        <w:rPr>
          <w:rFonts w:ascii="Tahoma" w:hAnsi="Tahoma" w:cs="Tahoma"/>
          <w:sz w:val="22"/>
          <w:szCs w:val="22"/>
        </w:rPr>
      </w:pPr>
      <w:r>
        <w:rPr>
          <w:rFonts w:ascii="Tahoma" w:hAnsi="Tahoma" w:cs="Tahoma"/>
          <w:sz w:val="22"/>
          <w:szCs w:val="22"/>
        </w:rPr>
        <w:t xml:space="preserve">2. </w:t>
      </w:r>
      <w:r w:rsidR="006E7A6A" w:rsidRPr="00D97495">
        <w:rPr>
          <w:rFonts w:ascii="Tahoma" w:hAnsi="Tahoma" w:cs="Tahoma"/>
          <w:sz w:val="22"/>
          <w:szCs w:val="22"/>
        </w:rPr>
        <w:t>fáze – rozšířená</w:t>
      </w:r>
      <w:r w:rsidR="00002F47" w:rsidRPr="00D97495">
        <w:rPr>
          <w:rFonts w:ascii="Tahoma" w:hAnsi="Tahoma" w:cs="Tahoma"/>
          <w:sz w:val="22"/>
          <w:szCs w:val="22"/>
        </w:rPr>
        <w:t xml:space="preserve"> podpora. </w:t>
      </w:r>
      <w:r w:rsidR="007013EC" w:rsidRPr="00D97495">
        <w:rPr>
          <w:rFonts w:ascii="Tahoma" w:hAnsi="Tahoma" w:cs="Tahoma"/>
          <w:sz w:val="22"/>
          <w:szCs w:val="22"/>
        </w:rPr>
        <w:t>V této fázi</w:t>
      </w:r>
      <w:r w:rsidR="00002F47" w:rsidRPr="00D97495">
        <w:rPr>
          <w:rFonts w:ascii="Tahoma" w:hAnsi="Tahoma" w:cs="Tahoma"/>
          <w:sz w:val="22"/>
          <w:szCs w:val="22"/>
        </w:rPr>
        <w:t xml:space="preserve"> již není možné žádat o změny produktu nebo funkčnosti, protože </w:t>
      </w:r>
      <w:r w:rsidR="007013EC" w:rsidRPr="00D97495">
        <w:rPr>
          <w:rFonts w:ascii="Tahoma" w:hAnsi="Tahoma" w:cs="Tahoma"/>
          <w:sz w:val="22"/>
          <w:szCs w:val="22"/>
        </w:rPr>
        <w:t xml:space="preserve">jsou již poskytovány pouze aktualizace </w:t>
      </w:r>
      <w:r w:rsidR="00002F47" w:rsidRPr="00D97495">
        <w:rPr>
          <w:rFonts w:ascii="Tahoma" w:hAnsi="Tahoma" w:cs="Tahoma"/>
          <w:sz w:val="22"/>
          <w:szCs w:val="22"/>
        </w:rPr>
        <w:t>kybernetické bezpečnosti.</w:t>
      </w:r>
      <w:r w:rsidR="007013EC" w:rsidRPr="00D97495">
        <w:rPr>
          <w:rFonts w:ascii="Tahoma" w:hAnsi="Tahoma" w:cs="Tahoma"/>
          <w:sz w:val="22"/>
          <w:szCs w:val="22"/>
        </w:rPr>
        <w:t xml:space="preserve"> Stejný</w:t>
      </w:r>
      <w:r w:rsidR="00002F47" w:rsidRPr="00D97495">
        <w:rPr>
          <w:rFonts w:ascii="Tahoma" w:hAnsi="Tahoma" w:cs="Tahoma"/>
          <w:sz w:val="22"/>
          <w:szCs w:val="22"/>
        </w:rPr>
        <w:t xml:space="preserve"> </w:t>
      </w:r>
      <w:r w:rsidR="007013EC" w:rsidRPr="00D97495">
        <w:rPr>
          <w:rFonts w:ascii="Tahoma" w:hAnsi="Tahoma" w:cs="Tahoma"/>
          <w:sz w:val="22"/>
          <w:szCs w:val="22"/>
        </w:rPr>
        <w:t xml:space="preserve">zůstává </w:t>
      </w:r>
      <w:r w:rsidR="00002F47" w:rsidRPr="00D97495">
        <w:rPr>
          <w:rFonts w:ascii="Tahoma" w:hAnsi="Tahoma" w:cs="Tahoma"/>
          <w:sz w:val="22"/>
          <w:szCs w:val="22"/>
        </w:rPr>
        <w:t>přístup k podpoře.</w:t>
      </w:r>
    </w:p>
    <w:p w14:paraId="4498F64E" w14:textId="71DA7C08" w:rsidR="006E7A6A" w:rsidRPr="00D97495" w:rsidRDefault="00494368" w:rsidP="00002F47">
      <w:pPr>
        <w:pStyle w:val="Odstavecseseznamem"/>
        <w:numPr>
          <w:ilvl w:val="0"/>
          <w:numId w:val="3"/>
        </w:numPr>
        <w:rPr>
          <w:rFonts w:ascii="Tahoma" w:hAnsi="Tahoma" w:cs="Tahoma"/>
          <w:sz w:val="22"/>
          <w:szCs w:val="22"/>
        </w:rPr>
      </w:pPr>
      <w:r>
        <w:rPr>
          <w:rFonts w:ascii="Tahoma" w:hAnsi="Tahoma" w:cs="Tahoma"/>
          <w:sz w:val="22"/>
          <w:szCs w:val="22"/>
        </w:rPr>
        <w:t xml:space="preserve">3. </w:t>
      </w:r>
      <w:r w:rsidR="006E7A6A" w:rsidRPr="00D97495">
        <w:rPr>
          <w:rFonts w:ascii="Tahoma" w:hAnsi="Tahoma" w:cs="Tahoma"/>
          <w:sz w:val="22"/>
          <w:szCs w:val="22"/>
        </w:rPr>
        <w:t>fáze – po</w:t>
      </w:r>
      <w:r w:rsidR="00002F47" w:rsidRPr="00D97495">
        <w:rPr>
          <w:rFonts w:ascii="Tahoma" w:hAnsi="Tahoma" w:cs="Tahoma"/>
          <w:sz w:val="22"/>
          <w:szCs w:val="22"/>
        </w:rPr>
        <w:t xml:space="preserve"> podpoře. </w:t>
      </w:r>
      <w:r w:rsidR="007013EC" w:rsidRPr="00D97495">
        <w:rPr>
          <w:rFonts w:ascii="Tahoma" w:hAnsi="Tahoma" w:cs="Tahoma"/>
          <w:sz w:val="22"/>
          <w:szCs w:val="22"/>
        </w:rPr>
        <w:t>Stále</w:t>
      </w:r>
      <w:r w:rsidR="00002F47" w:rsidRPr="00D97495">
        <w:rPr>
          <w:rFonts w:ascii="Tahoma" w:hAnsi="Tahoma" w:cs="Tahoma"/>
          <w:sz w:val="22"/>
          <w:szCs w:val="22"/>
        </w:rPr>
        <w:t xml:space="preserve"> je možné využívat aktualizace z oblasti kybernetické bezpečnosti, ale pouze za příplatek. </w:t>
      </w:r>
      <w:r w:rsidR="0078178E" w:rsidRPr="00D97495">
        <w:rPr>
          <w:rFonts w:ascii="Tahoma" w:hAnsi="Tahoma" w:cs="Tahoma"/>
          <w:sz w:val="22"/>
          <w:szCs w:val="22"/>
        </w:rPr>
        <w:t>Zároveň</w:t>
      </w:r>
      <w:r w:rsidR="007013EC" w:rsidRPr="00D97495">
        <w:rPr>
          <w:rFonts w:ascii="Tahoma" w:hAnsi="Tahoma" w:cs="Tahoma"/>
          <w:sz w:val="22"/>
          <w:szCs w:val="22"/>
        </w:rPr>
        <w:t xml:space="preserve"> j</w:t>
      </w:r>
      <w:r w:rsidR="0078178E" w:rsidRPr="00D97495">
        <w:rPr>
          <w:rFonts w:ascii="Tahoma" w:hAnsi="Tahoma" w:cs="Tahoma"/>
          <w:sz w:val="22"/>
          <w:szCs w:val="22"/>
        </w:rPr>
        <w:t>d</w:t>
      </w:r>
      <w:r w:rsidR="007013EC" w:rsidRPr="00D97495">
        <w:rPr>
          <w:rFonts w:ascii="Tahoma" w:hAnsi="Tahoma" w:cs="Tahoma"/>
          <w:sz w:val="22"/>
          <w:szCs w:val="22"/>
        </w:rPr>
        <w:t xml:space="preserve">e </w:t>
      </w:r>
      <w:r w:rsidR="006E7A6A" w:rsidRPr="00D97495">
        <w:rPr>
          <w:rFonts w:ascii="Tahoma" w:hAnsi="Tahoma" w:cs="Tahoma"/>
          <w:sz w:val="22"/>
          <w:szCs w:val="22"/>
        </w:rPr>
        <w:t>nejzazší</w:t>
      </w:r>
      <w:r w:rsidR="0078178E" w:rsidRPr="00D97495">
        <w:rPr>
          <w:rFonts w:ascii="Tahoma" w:hAnsi="Tahoma" w:cs="Tahoma"/>
          <w:sz w:val="22"/>
          <w:szCs w:val="22"/>
        </w:rPr>
        <w:t xml:space="preserve"> okamžik, kdy je </w:t>
      </w:r>
      <w:r w:rsidR="007013EC" w:rsidRPr="00D97495">
        <w:rPr>
          <w:rFonts w:ascii="Tahoma" w:hAnsi="Tahoma" w:cs="Tahoma"/>
          <w:sz w:val="22"/>
          <w:szCs w:val="22"/>
        </w:rPr>
        <w:t xml:space="preserve">nutné </w:t>
      </w:r>
      <w:r w:rsidR="00002F47" w:rsidRPr="00D97495">
        <w:rPr>
          <w:rFonts w:ascii="Tahoma" w:hAnsi="Tahoma" w:cs="Tahoma"/>
          <w:sz w:val="22"/>
          <w:szCs w:val="22"/>
        </w:rPr>
        <w:t>se poohlédnout po novějším softwaru.</w:t>
      </w:r>
    </w:p>
    <w:p w14:paraId="31B14C4B" w14:textId="420F280B" w:rsidR="00002F47" w:rsidRPr="00D97495" w:rsidRDefault="00494368" w:rsidP="00002F47">
      <w:pPr>
        <w:pStyle w:val="Odstavecseseznamem"/>
        <w:numPr>
          <w:ilvl w:val="0"/>
          <w:numId w:val="3"/>
        </w:numPr>
        <w:rPr>
          <w:rFonts w:ascii="Tahoma" w:hAnsi="Tahoma" w:cs="Tahoma"/>
          <w:sz w:val="22"/>
          <w:szCs w:val="22"/>
        </w:rPr>
      </w:pPr>
      <w:r>
        <w:rPr>
          <w:rFonts w:ascii="Tahoma" w:hAnsi="Tahoma" w:cs="Tahoma"/>
          <w:sz w:val="22"/>
          <w:szCs w:val="22"/>
        </w:rPr>
        <w:t xml:space="preserve">4. </w:t>
      </w:r>
      <w:r w:rsidR="006E7A6A" w:rsidRPr="00D97495">
        <w:rPr>
          <w:rFonts w:ascii="Tahoma" w:hAnsi="Tahoma" w:cs="Tahoma"/>
          <w:sz w:val="22"/>
          <w:szCs w:val="22"/>
        </w:rPr>
        <w:t>fáze – software</w:t>
      </w:r>
      <w:r w:rsidR="00002F47" w:rsidRPr="00D97495">
        <w:rPr>
          <w:rFonts w:ascii="Tahoma" w:hAnsi="Tahoma" w:cs="Tahoma"/>
          <w:sz w:val="22"/>
          <w:szCs w:val="22"/>
        </w:rPr>
        <w:t xml:space="preserve"> již není podporován.</w:t>
      </w:r>
    </w:p>
    <w:p w14:paraId="79C89F3A" w14:textId="631AA631" w:rsidR="00002F47" w:rsidRPr="00D97495" w:rsidRDefault="0078178E" w:rsidP="00002F47">
      <w:pPr>
        <w:rPr>
          <w:rFonts w:ascii="Tahoma" w:hAnsi="Tahoma" w:cs="Tahoma"/>
          <w:sz w:val="22"/>
          <w:szCs w:val="22"/>
        </w:rPr>
      </w:pPr>
      <w:r w:rsidRPr="00D97495">
        <w:rPr>
          <w:rFonts w:ascii="Tahoma" w:hAnsi="Tahoma" w:cs="Tahoma"/>
          <w:sz w:val="22"/>
          <w:szCs w:val="22"/>
        </w:rPr>
        <w:br/>
      </w:r>
      <w:r w:rsidR="00002F47" w:rsidRPr="00D97495">
        <w:rPr>
          <w:rFonts w:ascii="Tahoma" w:hAnsi="Tahoma" w:cs="Tahoma"/>
          <w:sz w:val="22"/>
          <w:szCs w:val="22"/>
        </w:rPr>
        <w:t xml:space="preserve">Alternativa k fázi tři a čtyři by mohla zahrnovat použití vyhrazených řešení ke zvýšení kybernetické bezpečnosti softwaru, který již výrobce nepodporuje. Tato řešení mohou také doporučit a poskytovat softwaroví </w:t>
      </w:r>
      <w:r w:rsidRPr="00D97495">
        <w:rPr>
          <w:rFonts w:ascii="Tahoma" w:hAnsi="Tahoma" w:cs="Tahoma"/>
          <w:sz w:val="22"/>
          <w:szCs w:val="22"/>
        </w:rPr>
        <w:t>brokeři</w:t>
      </w:r>
      <w:r w:rsidR="00002F47" w:rsidRPr="00D97495">
        <w:rPr>
          <w:rFonts w:ascii="Tahoma" w:hAnsi="Tahoma" w:cs="Tahoma"/>
          <w:sz w:val="22"/>
          <w:szCs w:val="22"/>
        </w:rPr>
        <w:t>.</w:t>
      </w:r>
    </w:p>
    <w:p w14:paraId="209166F0" w14:textId="7CE444B1" w:rsidR="00002F47" w:rsidRPr="00D97495" w:rsidRDefault="0078178E" w:rsidP="00002F47">
      <w:pPr>
        <w:rPr>
          <w:rFonts w:ascii="Tahoma" w:hAnsi="Tahoma" w:cs="Tahoma"/>
          <w:sz w:val="22"/>
          <w:szCs w:val="22"/>
        </w:rPr>
      </w:pPr>
      <w:r w:rsidRPr="00D97495">
        <w:rPr>
          <w:rFonts w:ascii="Tahoma" w:hAnsi="Tahoma" w:cs="Tahoma"/>
          <w:sz w:val="22"/>
          <w:szCs w:val="22"/>
        </w:rPr>
        <w:t xml:space="preserve">Správci firemní </w:t>
      </w:r>
      <w:r w:rsidR="00002F47" w:rsidRPr="00D97495">
        <w:rPr>
          <w:rFonts w:ascii="Tahoma" w:hAnsi="Tahoma" w:cs="Tahoma"/>
          <w:sz w:val="22"/>
          <w:szCs w:val="22"/>
        </w:rPr>
        <w:t>IT infrastruktur</w:t>
      </w:r>
      <w:r w:rsidRPr="00D97495">
        <w:rPr>
          <w:rFonts w:ascii="Tahoma" w:hAnsi="Tahoma" w:cs="Tahoma"/>
          <w:sz w:val="22"/>
          <w:szCs w:val="22"/>
        </w:rPr>
        <w:t>y</w:t>
      </w:r>
      <w:r w:rsidR="00002F47" w:rsidRPr="00D97495">
        <w:rPr>
          <w:rFonts w:ascii="Tahoma" w:hAnsi="Tahoma" w:cs="Tahoma"/>
          <w:sz w:val="22"/>
          <w:szCs w:val="22"/>
        </w:rPr>
        <w:t xml:space="preserve"> by proto </w:t>
      </w:r>
      <w:r w:rsidRPr="00D97495">
        <w:rPr>
          <w:rFonts w:ascii="Tahoma" w:hAnsi="Tahoma" w:cs="Tahoma"/>
          <w:sz w:val="22"/>
          <w:szCs w:val="22"/>
        </w:rPr>
        <w:t>ne</w:t>
      </w:r>
      <w:r w:rsidR="00002F47" w:rsidRPr="00D97495">
        <w:rPr>
          <w:rFonts w:ascii="Tahoma" w:hAnsi="Tahoma" w:cs="Tahoma"/>
          <w:sz w:val="22"/>
          <w:szCs w:val="22"/>
        </w:rPr>
        <w:t>měli zapomínat na pravidelnou instalaci záplat a aktualizací, které mohou pomoci zabránit tomu, aby byly systémy vystaveny útokům.</w:t>
      </w:r>
    </w:p>
    <w:p w14:paraId="091D2BD8" w14:textId="77777777" w:rsidR="009637D0" w:rsidRPr="00D97495" w:rsidRDefault="009637D0" w:rsidP="00002F47">
      <w:pPr>
        <w:rPr>
          <w:rFonts w:ascii="Tahoma" w:hAnsi="Tahoma" w:cs="Tahoma"/>
          <w:sz w:val="22"/>
          <w:szCs w:val="22"/>
        </w:rPr>
      </w:pPr>
    </w:p>
    <w:p w14:paraId="4E52ABB3" w14:textId="71E7112D" w:rsidR="0078178E" w:rsidRPr="00D97495" w:rsidRDefault="009637D0" w:rsidP="006E7A6A">
      <w:pPr>
        <w:rPr>
          <w:rFonts w:ascii="Tahoma" w:hAnsi="Tahoma" w:cs="Tahoma"/>
          <w:sz w:val="22"/>
          <w:szCs w:val="22"/>
        </w:rPr>
      </w:pPr>
      <w:r w:rsidRPr="00D97495">
        <w:rPr>
          <w:rFonts w:ascii="Tahoma" w:hAnsi="Tahoma" w:cs="Tahoma"/>
          <w:sz w:val="22"/>
          <w:szCs w:val="22"/>
        </w:rPr>
        <w:t xml:space="preserve">Kromě toho se vždy ujistěte, že používáte ověřený software od důvěryhodného brokera. Jeho výběr je zásadní, protože na trhu existují podvodné subjekty, které nabízejí například pouze produktové klíče bez řádné dokumentace. </w:t>
      </w:r>
      <w:r w:rsidR="005F4BB0" w:rsidRPr="00D97495">
        <w:rPr>
          <w:rFonts w:ascii="Tahoma" w:hAnsi="Tahoma" w:cs="Tahoma"/>
          <w:sz w:val="22"/>
          <w:szCs w:val="22"/>
        </w:rPr>
        <w:t>Případný n</w:t>
      </w:r>
      <w:r w:rsidR="00DE0C38" w:rsidRPr="00D97495">
        <w:rPr>
          <w:rFonts w:ascii="Tahoma" w:hAnsi="Tahoma" w:cs="Tahoma"/>
          <w:sz w:val="22"/>
          <w:szCs w:val="22"/>
        </w:rPr>
        <w:t>á</w:t>
      </w:r>
      <w:r w:rsidR="005F4BB0" w:rsidRPr="00D97495">
        <w:rPr>
          <w:rFonts w:ascii="Tahoma" w:hAnsi="Tahoma" w:cs="Tahoma"/>
          <w:sz w:val="22"/>
          <w:szCs w:val="22"/>
        </w:rPr>
        <w:t xml:space="preserve">kup nelegálního software, byť v dobré víře, </w:t>
      </w:r>
      <w:r w:rsidRPr="00D97495">
        <w:rPr>
          <w:rFonts w:ascii="Tahoma" w:hAnsi="Tahoma" w:cs="Tahoma"/>
          <w:sz w:val="22"/>
          <w:szCs w:val="22"/>
        </w:rPr>
        <w:t xml:space="preserve">zvyšuje riziko soudních sporů, odpovědnost za škody za porušení práv duševního vlastnictví </w:t>
      </w:r>
      <w:bookmarkStart w:id="0" w:name="_Hlk190174577"/>
      <w:r w:rsidRPr="00D97495">
        <w:rPr>
          <w:rFonts w:ascii="Tahoma" w:hAnsi="Tahoma" w:cs="Tahoma"/>
          <w:sz w:val="22"/>
          <w:szCs w:val="22"/>
        </w:rPr>
        <w:t xml:space="preserve">a </w:t>
      </w:r>
      <w:r w:rsidR="007D0A78">
        <w:rPr>
          <w:rFonts w:ascii="Tahoma" w:hAnsi="Tahoma" w:cs="Tahoma"/>
          <w:sz w:val="22"/>
          <w:szCs w:val="22"/>
        </w:rPr>
        <w:t xml:space="preserve">navyšuje </w:t>
      </w:r>
      <w:r w:rsidR="007D0A78" w:rsidRPr="00D97495">
        <w:rPr>
          <w:rFonts w:ascii="Tahoma" w:hAnsi="Tahoma" w:cs="Tahoma"/>
          <w:sz w:val="22"/>
          <w:szCs w:val="22"/>
        </w:rPr>
        <w:t xml:space="preserve">riziko instalace škodlivého softwaru </w:t>
      </w:r>
      <w:r w:rsidRPr="00D97495">
        <w:rPr>
          <w:rFonts w:ascii="Tahoma" w:hAnsi="Tahoma" w:cs="Tahoma"/>
          <w:sz w:val="22"/>
          <w:szCs w:val="22"/>
        </w:rPr>
        <w:t>v případě instalace z neznámých instalačních souborů.</w:t>
      </w:r>
    </w:p>
    <w:bookmarkEnd w:id="0"/>
    <w:p w14:paraId="2EA98279" w14:textId="77777777" w:rsidR="006E7A6A" w:rsidRDefault="006E7A6A" w:rsidP="004F0463">
      <w:pPr>
        <w:jc w:val="both"/>
        <w:rPr>
          <w:rFonts w:ascii="Tahoma" w:eastAsia="Times New Roman" w:hAnsi="Tahoma" w:cs="Tahoma"/>
          <w:b/>
          <w:bCs/>
          <w:color w:val="000000"/>
          <w:sz w:val="21"/>
          <w:szCs w:val="21"/>
          <w:u w:val="single"/>
          <w:lang w:eastAsia="en-GB"/>
        </w:rPr>
      </w:pPr>
    </w:p>
    <w:p w14:paraId="1B923241" w14:textId="77777777" w:rsidR="00D97495" w:rsidRDefault="00D97495" w:rsidP="004F0463">
      <w:pPr>
        <w:jc w:val="both"/>
        <w:rPr>
          <w:rFonts w:ascii="Tahoma" w:eastAsia="Times New Roman" w:hAnsi="Tahoma" w:cs="Tahoma"/>
          <w:b/>
          <w:bCs/>
          <w:color w:val="000000"/>
          <w:sz w:val="21"/>
          <w:szCs w:val="21"/>
          <w:u w:val="single"/>
          <w:lang w:eastAsia="en-GB"/>
        </w:rPr>
      </w:pPr>
    </w:p>
    <w:p w14:paraId="2C2056F7" w14:textId="77777777" w:rsidR="00D97495" w:rsidRDefault="00D97495" w:rsidP="004F0463">
      <w:pPr>
        <w:jc w:val="both"/>
        <w:rPr>
          <w:rFonts w:ascii="Tahoma" w:eastAsia="Times New Roman" w:hAnsi="Tahoma" w:cs="Tahoma"/>
          <w:b/>
          <w:bCs/>
          <w:color w:val="000000"/>
          <w:sz w:val="21"/>
          <w:szCs w:val="21"/>
          <w:u w:val="single"/>
          <w:lang w:eastAsia="en-GB"/>
        </w:rPr>
      </w:pPr>
    </w:p>
    <w:p w14:paraId="1015370E" w14:textId="77777777" w:rsidR="00D97495" w:rsidRDefault="00D97495" w:rsidP="004F0463">
      <w:pPr>
        <w:jc w:val="both"/>
        <w:rPr>
          <w:rFonts w:ascii="Tahoma" w:eastAsia="Times New Roman" w:hAnsi="Tahoma" w:cs="Tahoma"/>
          <w:b/>
          <w:bCs/>
          <w:color w:val="000000"/>
          <w:sz w:val="21"/>
          <w:szCs w:val="21"/>
          <w:u w:val="single"/>
          <w:lang w:eastAsia="en-GB"/>
        </w:rPr>
      </w:pPr>
    </w:p>
    <w:p w14:paraId="736A03DD" w14:textId="77777777" w:rsidR="00D97495" w:rsidRDefault="00D97495" w:rsidP="004F0463">
      <w:pPr>
        <w:jc w:val="both"/>
        <w:rPr>
          <w:rFonts w:ascii="Tahoma" w:eastAsia="Times New Roman" w:hAnsi="Tahoma" w:cs="Tahoma"/>
          <w:b/>
          <w:bCs/>
          <w:color w:val="000000"/>
          <w:sz w:val="21"/>
          <w:szCs w:val="21"/>
          <w:u w:val="single"/>
          <w:lang w:eastAsia="en-GB"/>
        </w:rPr>
      </w:pPr>
    </w:p>
    <w:p w14:paraId="70E4E3E2" w14:textId="77777777" w:rsidR="00D97495" w:rsidRDefault="00D97495" w:rsidP="004F0463">
      <w:pPr>
        <w:jc w:val="both"/>
        <w:rPr>
          <w:rFonts w:ascii="Tahoma" w:eastAsia="Times New Roman" w:hAnsi="Tahoma" w:cs="Tahoma"/>
          <w:b/>
          <w:bCs/>
          <w:color w:val="000000"/>
          <w:sz w:val="21"/>
          <w:szCs w:val="21"/>
          <w:u w:val="single"/>
          <w:lang w:eastAsia="en-GB"/>
        </w:rPr>
      </w:pPr>
    </w:p>
    <w:p w14:paraId="10F53892" w14:textId="77777777" w:rsidR="00537FBD" w:rsidRDefault="00537FBD" w:rsidP="004F0463">
      <w:pPr>
        <w:jc w:val="both"/>
        <w:rPr>
          <w:rFonts w:ascii="Tahoma" w:eastAsia="Times New Roman" w:hAnsi="Tahoma" w:cs="Tahoma"/>
          <w:b/>
          <w:bCs/>
          <w:color w:val="000000"/>
          <w:sz w:val="21"/>
          <w:szCs w:val="21"/>
          <w:u w:val="single"/>
          <w:lang w:eastAsia="en-GB"/>
        </w:rPr>
      </w:pPr>
    </w:p>
    <w:p w14:paraId="26701686" w14:textId="77777777" w:rsidR="00537FBD" w:rsidRDefault="00537FBD" w:rsidP="004F0463">
      <w:pPr>
        <w:jc w:val="both"/>
        <w:rPr>
          <w:rFonts w:ascii="Tahoma" w:eastAsia="Times New Roman" w:hAnsi="Tahoma" w:cs="Tahoma"/>
          <w:b/>
          <w:bCs/>
          <w:color w:val="000000"/>
          <w:sz w:val="21"/>
          <w:szCs w:val="21"/>
          <w:u w:val="single"/>
          <w:lang w:eastAsia="en-GB"/>
        </w:rPr>
      </w:pPr>
    </w:p>
    <w:p w14:paraId="2E2C8436" w14:textId="77777777" w:rsidR="00537FBD" w:rsidRDefault="00537FBD" w:rsidP="004F0463">
      <w:pPr>
        <w:jc w:val="both"/>
        <w:rPr>
          <w:rFonts w:ascii="Tahoma" w:eastAsia="Times New Roman" w:hAnsi="Tahoma" w:cs="Tahoma"/>
          <w:b/>
          <w:bCs/>
          <w:color w:val="000000"/>
          <w:sz w:val="21"/>
          <w:szCs w:val="21"/>
          <w:u w:val="single"/>
          <w:lang w:eastAsia="en-GB"/>
        </w:rPr>
      </w:pPr>
    </w:p>
    <w:p w14:paraId="67DFB704" w14:textId="77777777" w:rsidR="00D97495" w:rsidRDefault="00D97495" w:rsidP="004F0463">
      <w:pPr>
        <w:jc w:val="both"/>
        <w:rPr>
          <w:rFonts w:ascii="Tahoma" w:eastAsia="Times New Roman" w:hAnsi="Tahoma" w:cs="Tahoma"/>
          <w:b/>
          <w:bCs/>
          <w:color w:val="000000"/>
          <w:sz w:val="21"/>
          <w:szCs w:val="21"/>
          <w:u w:val="single"/>
          <w:lang w:eastAsia="en-GB"/>
        </w:rPr>
      </w:pPr>
    </w:p>
    <w:p w14:paraId="1831D771" w14:textId="78026001" w:rsidR="004F0463" w:rsidRPr="00D97495" w:rsidRDefault="00DE0C38" w:rsidP="004F0463">
      <w:pPr>
        <w:jc w:val="both"/>
        <w:rPr>
          <w:rFonts w:ascii="Tahoma" w:eastAsia="Times New Roman" w:hAnsi="Tahoma" w:cs="Tahoma"/>
          <w:sz w:val="20"/>
          <w:szCs w:val="20"/>
          <w:lang w:eastAsia="en-GB"/>
        </w:rPr>
      </w:pPr>
      <w:r w:rsidRPr="00D97495">
        <w:rPr>
          <w:rFonts w:ascii="Tahoma" w:eastAsia="Times New Roman" w:hAnsi="Tahoma" w:cs="Tahoma"/>
          <w:b/>
          <w:bCs/>
          <w:color w:val="000000"/>
          <w:sz w:val="20"/>
          <w:szCs w:val="20"/>
          <w:u w:val="single"/>
          <w:lang w:eastAsia="en-GB"/>
        </w:rPr>
        <w:lastRenderedPageBreak/>
        <w:t>O</w:t>
      </w:r>
      <w:r w:rsidR="004F0463" w:rsidRPr="00D97495">
        <w:rPr>
          <w:rFonts w:ascii="Tahoma" w:eastAsia="Times New Roman" w:hAnsi="Tahoma" w:cs="Tahoma"/>
          <w:b/>
          <w:bCs/>
          <w:color w:val="000000"/>
          <w:sz w:val="20"/>
          <w:szCs w:val="20"/>
          <w:u w:val="single"/>
          <w:lang w:eastAsia="en-GB"/>
        </w:rPr>
        <w:t xml:space="preserve"> Forscope</w:t>
      </w:r>
    </w:p>
    <w:p w14:paraId="6AED4333" w14:textId="7940E535" w:rsidR="004A2A87" w:rsidRPr="00D97495" w:rsidRDefault="00DE0C38" w:rsidP="00DE0C38">
      <w:pPr>
        <w:jc w:val="both"/>
        <w:rPr>
          <w:rFonts w:ascii="Tahoma" w:eastAsia="Times New Roman" w:hAnsi="Tahoma" w:cs="Tahoma"/>
          <w:color w:val="000000"/>
          <w:sz w:val="20"/>
          <w:szCs w:val="20"/>
          <w:lang w:eastAsia="en-GB"/>
        </w:rPr>
      </w:pPr>
      <w:r w:rsidRPr="00D97495">
        <w:rPr>
          <w:rFonts w:ascii="Tahoma" w:eastAsia="Times New Roman" w:hAnsi="Tahoma" w:cs="Tahoma"/>
          <w:color w:val="000000"/>
          <w:sz w:val="20"/>
          <w:szCs w:val="20"/>
          <w:lang w:eastAsia="en-GB"/>
        </w:rPr>
        <w:t>Forscope, největší softwarový broker ve střední a východní Evropě, nabízí plně licencovaná softwarová řešení prostřednictvím inovativního, nákladově efektivního modelu akvizice společnostem všech velikostí i veřejným institucím. Kromě toho společnost dodává komplexní balíček služeb včetně technické podpory, licenčního a právního poradenství. Forscope se sídlem v České republice působí v dalších 9 zemích střední a východní Evropy. Společnost je certifikovaným partnerem společnosti Microsoft a je držitelem certifikací ISO 9001:2015 a ISO 27001.</w:t>
      </w:r>
    </w:p>
    <w:p w14:paraId="540E78D0" w14:textId="77777777" w:rsidR="00D97495" w:rsidRDefault="00D97495" w:rsidP="00F35850">
      <w:pPr>
        <w:jc w:val="both"/>
        <w:rPr>
          <w:rFonts w:ascii="Tahoma" w:eastAsia="Times New Roman" w:hAnsi="Tahoma" w:cs="Tahoma"/>
          <w:color w:val="000000"/>
          <w:sz w:val="20"/>
          <w:szCs w:val="20"/>
          <w:lang w:eastAsia="en-GB"/>
        </w:rPr>
      </w:pPr>
    </w:p>
    <w:p w14:paraId="61C8AD75" w14:textId="40F3624A" w:rsidR="00582C0D" w:rsidRPr="00D97495" w:rsidRDefault="006E7A6A" w:rsidP="00F35850">
      <w:pPr>
        <w:jc w:val="both"/>
        <w:rPr>
          <w:rFonts w:ascii="Tahoma" w:eastAsia="Times New Roman" w:hAnsi="Tahoma" w:cs="Tahoma"/>
          <w:color w:val="000000"/>
          <w:sz w:val="20"/>
          <w:szCs w:val="20"/>
          <w:lang w:eastAsia="en-GB"/>
        </w:rPr>
      </w:pPr>
      <w:r w:rsidRPr="00D97495">
        <w:rPr>
          <w:rFonts w:ascii="Tahoma" w:eastAsia="Times New Roman" w:hAnsi="Tahoma" w:cs="Tahoma"/>
          <w:color w:val="000000"/>
          <w:sz w:val="20"/>
          <w:szCs w:val="20"/>
          <w:lang w:eastAsia="en-GB"/>
        </w:rPr>
        <w:t>Pro více informací, navštivte</w:t>
      </w:r>
      <w:r w:rsidR="00582C0D" w:rsidRPr="00D97495">
        <w:rPr>
          <w:rFonts w:ascii="Tahoma" w:eastAsia="Times New Roman" w:hAnsi="Tahoma" w:cs="Tahoma"/>
          <w:color w:val="000000"/>
          <w:sz w:val="20"/>
          <w:szCs w:val="20"/>
          <w:lang w:eastAsia="en-GB"/>
        </w:rPr>
        <w:t xml:space="preserve">: </w:t>
      </w:r>
      <w:hyperlink r:id="rId8" w:history="1">
        <w:r w:rsidRPr="00D97495">
          <w:rPr>
            <w:rStyle w:val="Hypertextovodkaz"/>
            <w:rFonts w:ascii="Tahoma" w:eastAsia="Times New Roman" w:hAnsi="Tahoma" w:cs="Tahoma"/>
            <w:sz w:val="20"/>
            <w:szCs w:val="20"/>
            <w:lang w:eastAsia="en-GB"/>
          </w:rPr>
          <w:t>Web</w:t>
        </w:r>
      </w:hyperlink>
      <w:r w:rsidR="00582C0D" w:rsidRPr="00D97495">
        <w:rPr>
          <w:rFonts w:ascii="Tahoma" w:eastAsia="Times New Roman" w:hAnsi="Tahoma" w:cs="Tahoma"/>
          <w:color w:val="000000"/>
          <w:sz w:val="20"/>
          <w:szCs w:val="20"/>
          <w:lang w:eastAsia="en-GB"/>
        </w:rPr>
        <w:t xml:space="preserve"> | </w:t>
      </w:r>
      <w:hyperlink r:id="rId9" w:history="1">
        <w:r w:rsidR="00582C0D" w:rsidRPr="00D97495">
          <w:rPr>
            <w:rStyle w:val="Hypertextovodkaz"/>
            <w:rFonts w:ascii="Tahoma" w:eastAsia="Times New Roman" w:hAnsi="Tahoma" w:cs="Tahoma"/>
            <w:sz w:val="20"/>
            <w:szCs w:val="20"/>
            <w:lang w:eastAsia="en-GB"/>
          </w:rPr>
          <w:t>LinkedIn</w:t>
        </w:r>
      </w:hyperlink>
      <w:r w:rsidR="00582C0D" w:rsidRPr="00D97495">
        <w:rPr>
          <w:rFonts w:ascii="Tahoma" w:eastAsia="Times New Roman" w:hAnsi="Tahoma" w:cs="Tahoma"/>
          <w:color w:val="000000"/>
          <w:sz w:val="20"/>
          <w:szCs w:val="20"/>
          <w:lang w:eastAsia="en-GB"/>
        </w:rPr>
        <w:t xml:space="preserve"> | </w:t>
      </w:r>
      <w:hyperlink r:id="rId10" w:history="1">
        <w:r w:rsidR="00582C0D" w:rsidRPr="00D97495">
          <w:rPr>
            <w:rStyle w:val="Hypertextovodkaz"/>
            <w:rFonts w:ascii="Tahoma" w:eastAsia="Times New Roman" w:hAnsi="Tahoma" w:cs="Tahoma"/>
            <w:sz w:val="20"/>
            <w:szCs w:val="20"/>
            <w:lang w:eastAsia="en-GB"/>
          </w:rPr>
          <w:t>Faceboo</w:t>
        </w:r>
        <w:r w:rsidRPr="00D97495">
          <w:rPr>
            <w:rStyle w:val="Hypertextovodkaz"/>
            <w:rFonts w:ascii="Tahoma" w:hAnsi="Tahoma" w:cs="Tahoma"/>
            <w:sz w:val="20"/>
            <w:szCs w:val="20"/>
          </w:rPr>
          <w:t>k</w:t>
        </w:r>
      </w:hyperlink>
    </w:p>
    <w:p w14:paraId="7FE620F3" w14:textId="77777777" w:rsidR="00F92A2A" w:rsidRPr="00D97495" w:rsidRDefault="00F92A2A" w:rsidP="008B7F29">
      <w:pPr>
        <w:jc w:val="both"/>
        <w:rPr>
          <w:rFonts w:ascii="Tahoma" w:eastAsia="Times New Roman" w:hAnsi="Tahoma" w:cs="Tahoma"/>
          <w:color w:val="000000"/>
          <w:sz w:val="20"/>
          <w:szCs w:val="20"/>
          <w:lang w:eastAsia="en-GB"/>
        </w:rPr>
      </w:pPr>
    </w:p>
    <w:p w14:paraId="2D7EE19E" w14:textId="41300241" w:rsidR="004F0463" w:rsidRDefault="006E7A6A" w:rsidP="008B7F29">
      <w:pPr>
        <w:jc w:val="both"/>
        <w:rPr>
          <w:rFonts w:ascii="Tahoma" w:eastAsia="Times New Roman" w:hAnsi="Tahoma" w:cs="Tahoma"/>
          <w:b/>
          <w:bCs/>
          <w:color w:val="000000"/>
          <w:sz w:val="20"/>
          <w:szCs w:val="20"/>
          <w:u w:val="single"/>
          <w:lang w:eastAsia="en-GB"/>
        </w:rPr>
      </w:pPr>
      <w:r w:rsidRPr="00D97495">
        <w:rPr>
          <w:rFonts w:ascii="Tahoma" w:eastAsia="Times New Roman" w:hAnsi="Tahoma" w:cs="Tahoma"/>
          <w:b/>
          <w:bCs/>
          <w:color w:val="000000"/>
          <w:sz w:val="20"/>
          <w:szCs w:val="20"/>
          <w:u w:val="single"/>
          <w:lang w:eastAsia="en-GB"/>
        </w:rPr>
        <w:t>Kontakt pro média</w:t>
      </w:r>
    </w:p>
    <w:p w14:paraId="6FCCB4D3" w14:textId="77777777" w:rsidR="00537FBD" w:rsidRPr="00D97495" w:rsidRDefault="00537FBD" w:rsidP="008B7F29">
      <w:pPr>
        <w:jc w:val="both"/>
        <w:rPr>
          <w:rFonts w:ascii="Tahoma" w:eastAsia="Times New Roman" w:hAnsi="Tahoma" w:cs="Tahoma"/>
          <w:b/>
          <w:bCs/>
          <w:color w:val="000000"/>
          <w:sz w:val="20"/>
          <w:szCs w:val="20"/>
          <w:u w:val="single"/>
          <w:lang w:eastAsia="en-GB"/>
        </w:rPr>
      </w:pPr>
    </w:p>
    <w:p w14:paraId="2E629118" w14:textId="11D272FF" w:rsidR="006E7A6A" w:rsidRPr="00D97495" w:rsidRDefault="006E7A6A" w:rsidP="008B7F29">
      <w:pPr>
        <w:jc w:val="both"/>
        <w:rPr>
          <w:rFonts w:ascii="Tahoma" w:eastAsia="Times New Roman" w:hAnsi="Tahoma" w:cs="Tahoma"/>
          <w:color w:val="000000"/>
          <w:sz w:val="20"/>
          <w:szCs w:val="20"/>
          <w:lang w:eastAsia="en-GB"/>
        </w:rPr>
      </w:pPr>
      <w:r w:rsidRPr="00D97495">
        <w:rPr>
          <w:rFonts w:ascii="Tahoma" w:eastAsia="Times New Roman" w:hAnsi="Tahoma" w:cs="Tahoma"/>
          <w:color w:val="000000"/>
          <w:sz w:val="20"/>
          <w:szCs w:val="20"/>
          <w:lang w:eastAsia="en-GB"/>
        </w:rPr>
        <w:t>Petra Losertová / Phoenix Communication, a.s.</w:t>
      </w:r>
    </w:p>
    <w:p w14:paraId="3B916896" w14:textId="75F3A70E" w:rsidR="006E7A6A" w:rsidRDefault="006E7A6A" w:rsidP="008B7F29">
      <w:pPr>
        <w:jc w:val="both"/>
      </w:pPr>
      <w:r w:rsidRPr="00D97495">
        <w:rPr>
          <w:rFonts w:ascii="Tahoma" w:eastAsia="Times New Roman" w:hAnsi="Tahoma" w:cs="Tahoma"/>
          <w:color w:val="000000"/>
          <w:sz w:val="20"/>
          <w:szCs w:val="20"/>
          <w:lang w:eastAsia="en-GB"/>
        </w:rPr>
        <w:t xml:space="preserve">E-mail: </w:t>
      </w:r>
      <w:hyperlink r:id="rId11" w:history="1">
        <w:r w:rsidRPr="00D97495">
          <w:rPr>
            <w:rStyle w:val="Hypertextovodkaz"/>
            <w:rFonts w:ascii="Tahoma" w:eastAsia="Times New Roman" w:hAnsi="Tahoma" w:cs="Tahoma"/>
            <w:sz w:val="20"/>
            <w:szCs w:val="20"/>
            <w:u w:val="none"/>
            <w:lang w:eastAsia="en-GB"/>
          </w:rPr>
          <w:t>petra@phoenixcom.cz</w:t>
        </w:r>
      </w:hyperlink>
    </w:p>
    <w:p w14:paraId="43163CFE" w14:textId="2CD8C9B0" w:rsidR="00494368" w:rsidRPr="00D97495" w:rsidRDefault="00494368" w:rsidP="00494368">
      <w:pPr>
        <w:jc w:val="both"/>
        <w:rPr>
          <w:rFonts w:ascii="Tahoma" w:eastAsia="Times New Roman" w:hAnsi="Tahoma" w:cs="Tahoma"/>
          <w:color w:val="000000"/>
          <w:sz w:val="20"/>
          <w:szCs w:val="20"/>
          <w:lang w:eastAsia="en-GB"/>
        </w:rPr>
      </w:pPr>
      <w:r w:rsidRPr="00D97495">
        <w:rPr>
          <w:rFonts w:ascii="Tahoma" w:eastAsia="Times New Roman" w:hAnsi="Tahoma" w:cs="Tahoma"/>
          <w:color w:val="000000"/>
          <w:sz w:val="20"/>
          <w:szCs w:val="20"/>
          <w:lang w:eastAsia="en-GB"/>
        </w:rPr>
        <w:t>Tel: +420 728 162</w:t>
      </w:r>
      <w:r>
        <w:rPr>
          <w:rFonts w:ascii="Tahoma" w:eastAsia="Times New Roman" w:hAnsi="Tahoma" w:cs="Tahoma"/>
          <w:color w:val="000000"/>
          <w:sz w:val="20"/>
          <w:szCs w:val="20"/>
          <w:lang w:eastAsia="en-GB"/>
        </w:rPr>
        <w:t> </w:t>
      </w:r>
      <w:r w:rsidRPr="00D97495">
        <w:rPr>
          <w:rFonts w:ascii="Tahoma" w:eastAsia="Times New Roman" w:hAnsi="Tahoma" w:cs="Tahoma"/>
          <w:color w:val="000000"/>
          <w:sz w:val="20"/>
          <w:szCs w:val="20"/>
          <w:lang w:eastAsia="en-GB"/>
        </w:rPr>
        <w:t>140</w:t>
      </w:r>
    </w:p>
    <w:p w14:paraId="7A8E606D" w14:textId="77777777" w:rsidR="00494368" w:rsidRPr="00D97495" w:rsidRDefault="00494368" w:rsidP="008B7F29">
      <w:pPr>
        <w:jc w:val="both"/>
        <w:rPr>
          <w:rFonts w:ascii="Tahoma" w:eastAsia="Times New Roman" w:hAnsi="Tahoma" w:cs="Tahoma"/>
          <w:color w:val="000000"/>
          <w:sz w:val="20"/>
          <w:szCs w:val="20"/>
          <w:u w:val="single"/>
          <w:lang w:eastAsia="en-GB"/>
        </w:rPr>
      </w:pPr>
    </w:p>
    <w:p w14:paraId="5F85F102" w14:textId="77777777" w:rsidR="00E27978" w:rsidRPr="006E7A6A" w:rsidRDefault="00E27978">
      <w:pPr>
        <w:rPr>
          <w:sz w:val="22"/>
          <w:szCs w:val="22"/>
        </w:rPr>
      </w:pPr>
    </w:p>
    <w:sectPr w:rsidR="00E27978" w:rsidRPr="006E7A6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777E" w14:textId="77777777" w:rsidR="00055BF9" w:rsidRDefault="00055BF9" w:rsidP="004F0463">
      <w:r>
        <w:separator/>
      </w:r>
    </w:p>
  </w:endnote>
  <w:endnote w:type="continuationSeparator" w:id="0">
    <w:p w14:paraId="0D19F1BD" w14:textId="77777777" w:rsidR="00055BF9" w:rsidRDefault="00055BF9" w:rsidP="004F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E20D" w14:textId="77777777" w:rsidR="00055BF9" w:rsidRDefault="00055BF9" w:rsidP="004F0463">
      <w:r>
        <w:separator/>
      </w:r>
    </w:p>
  </w:footnote>
  <w:footnote w:type="continuationSeparator" w:id="0">
    <w:p w14:paraId="1254B5BE" w14:textId="77777777" w:rsidR="00055BF9" w:rsidRDefault="00055BF9" w:rsidP="004F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247D" w14:textId="582AE371" w:rsidR="004F0463" w:rsidRDefault="0039419B" w:rsidP="004F0463">
    <w:pPr>
      <w:pStyle w:val="Zhlav"/>
      <w:jc w:val="center"/>
    </w:pPr>
    <w:r>
      <w:rPr>
        <w:noProof/>
      </w:rPr>
      <w:drawing>
        <wp:inline distT="0" distB="0" distL="0" distR="0" wp14:anchorId="00644A29" wp14:editId="67304CB7">
          <wp:extent cx="1701478" cy="850739"/>
          <wp:effectExtent l="0" t="0" r="635" b="635"/>
          <wp:docPr id="1563998173"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98173" name="Picture 2"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3619" cy="896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11471"/>
    <w:multiLevelType w:val="hybridMultilevel"/>
    <w:tmpl w:val="E2BCC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F5D7723"/>
    <w:multiLevelType w:val="hybridMultilevel"/>
    <w:tmpl w:val="C3841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7ED5D06"/>
    <w:multiLevelType w:val="hybridMultilevel"/>
    <w:tmpl w:val="12489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A73754"/>
    <w:multiLevelType w:val="hybridMultilevel"/>
    <w:tmpl w:val="1FCC2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0993952">
    <w:abstractNumId w:val="0"/>
  </w:num>
  <w:num w:numId="2" w16cid:durableId="936014110">
    <w:abstractNumId w:val="2"/>
  </w:num>
  <w:num w:numId="3" w16cid:durableId="1291859499">
    <w:abstractNumId w:val="1"/>
  </w:num>
  <w:num w:numId="4" w16cid:durableId="195732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B"/>
    <w:rsid w:val="00002F47"/>
    <w:rsid w:val="00010E6D"/>
    <w:rsid w:val="00011091"/>
    <w:rsid w:val="00036DAF"/>
    <w:rsid w:val="00055BF9"/>
    <w:rsid w:val="00065879"/>
    <w:rsid w:val="000A2A76"/>
    <w:rsid w:val="00214A06"/>
    <w:rsid w:val="00231352"/>
    <w:rsid w:val="00261A7C"/>
    <w:rsid w:val="00271B13"/>
    <w:rsid w:val="002A6D44"/>
    <w:rsid w:val="002B46EB"/>
    <w:rsid w:val="002B4CAB"/>
    <w:rsid w:val="002B7AC4"/>
    <w:rsid w:val="003745BA"/>
    <w:rsid w:val="0039419B"/>
    <w:rsid w:val="00443EE8"/>
    <w:rsid w:val="004538A3"/>
    <w:rsid w:val="00494368"/>
    <w:rsid w:val="004A2A87"/>
    <w:rsid w:val="004C266B"/>
    <w:rsid w:val="004F0463"/>
    <w:rsid w:val="00512C11"/>
    <w:rsid w:val="00537FBD"/>
    <w:rsid w:val="005633A0"/>
    <w:rsid w:val="00582C0D"/>
    <w:rsid w:val="005D7222"/>
    <w:rsid w:val="005F4BB0"/>
    <w:rsid w:val="006A73B3"/>
    <w:rsid w:val="006E7A6A"/>
    <w:rsid w:val="007013EC"/>
    <w:rsid w:val="0078178E"/>
    <w:rsid w:val="007B169F"/>
    <w:rsid w:val="007B62B7"/>
    <w:rsid w:val="007D0A78"/>
    <w:rsid w:val="007D7EE8"/>
    <w:rsid w:val="008127C4"/>
    <w:rsid w:val="008274AF"/>
    <w:rsid w:val="008B7F29"/>
    <w:rsid w:val="008C67C6"/>
    <w:rsid w:val="008D7155"/>
    <w:rsid w:val="008F2ED8"/>
    <w:rsid w:val="00916018"/>
    <w:rsid w:val="009637D0"/>
    <w:rsid w:val="009679AF"/>
    <w:rsid w:val="009A31DD"/>
    <w:rsid w:val="00A23C89"/>
    <w:rsid w:val="00A8196B"/>
    <w:rsid w:val="00AD13F3"/>
    <w:rsid w:val="00AF7C31"/>
    <w:rsid w:val="00B4147D"/>
    <w:rsid w:val="00BF7B79"/>
    <w:rsid w:val="00C20748"/>
    <w:rsid w:val="00C2409E"/>
    <w:rsid w:val="00C644F7"/>
    <w:rsid w:val="00C75C3F"/>
    <w:rsid w:val="00CA54F3"/>
    <w:rsid w:val="00D97495"/>
    <w:rsid w:val="00DA1B0D"/>
    <w:rsid w:val="00DE0C38"/>
    <w:rsid w:val="00E21868"/>
    <w:rsid w:val="00E27978"/>
    <w:rsid w:val="00E36C78"/>
    <w:rsid w:val="00F35850"/>
    <w:rsid w:val="00F3721E"/>
    <w:rsid w:val="00F55415"/>
    <w:rsid w:val="00F92A2A"/>
    <w:rsid w:val="00FB75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8EEE"/>
  <w15:chartTrackingRefBased/>
  <w15:docId w15:val="{F44A6EB1-8A36-3945-87CA-4A38BF0B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B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B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B4CA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B4CA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B4CA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B4CA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B4CA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B4CA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B4CA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4CA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B4CA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B4CA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B4CA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B4CA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B4CA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B4CA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B4CA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B4CAB"/>
    <w:rPr>
      <w:rFonts w:eastAsiaTheme="majorEastAsia" w:cstheme="majorBidi"/>
      <w:color w:val="272727" w:themeColor="text1" w:themeTint="D8"/>
    </w:rPr>
  </w:style>
  <w:style w:type="paragraph" w:styleId="Nzev">
    <w:name w:val="Title"/>
    <w:basedOn w:val="Normln"/>
    <w:next w:val="Normln"/>
    <w:link w:val="NzevChar"/>
    <w:uiPriority w:val="10"/>
    <w:qFormat/>
    <w:rsid w:val="002B4CA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B4CA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B4CA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B4CA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B4CA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B4CAB"/>
    <w:rPr>
      <w:i/>
      <w:iCs/>
      <w:color w:val="404040" w:themeColor="text1" w:themeTint="BF"/>
    </w:rPr>
  </w:style>
  <w:style w:type="paragraph" w:styleId="Odstavecseseznamem">
    <w:name w:val="List Paragraph"/>
    <w:basedOn w:val="Normln"/>
    <w:uiPriority w:val="34"/>
    <w:qFormat/>
    <w:rsid w:val="002B4CAB"/>
    <w:pPr>
      <w:ind w:left="720"/>
      <w:contextualSpacing/>
    </w:pPr>
  </w:style>
  <w:style w:type="character" w:styleId="Zdraznnintenzivn">
    <w:name w:val="Intense Emphasis"/>
    <w:basedOn w:val="Standardnpsmoodstavce"/>
    <w:uiPriority w:val="21"/>
    <w:qFormat/>
    <w:rsid w:val="002B4CAB"/>
    <w:rPr>
      <w:i/>
      <w:iCs/>
      <w:color w:val="0F4761" w:themeColor="accent1" w:themeShade="BF"/>
    </w:rPr>
  </w:style>
  <w:style w:type="paragraph" w:styleId="Vrazncitt">
    <w:name w:val="Intense Quote"/>
    <w:basedOn w:val="Normln"/>
    <w:next w:val="Normln"/>
    <w:link w:val="VrazncittChar"/>
    <w:uiPriority w:val="30"/>
    <w:qFormat/>
    <w:rsid w:val="002B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B4CAB"/>
    <w:rPr>
      <w:i/>
      <w:iCs/>
      <w:color w:val="0F4761" w:themeColor="accent1" w:themeShade="BF"/>
    </w:rPr>
  </w:style>
  <w:style w:type="character" w:styleId="Odkazintenzivn">
    <w:name w:val="Intense Reference"/>
    <w:basedOn w:val="Standardnpsmoodstavce"/>
    <w:uiPriority w:val="32"/>
    <w:qFormat/>
    <w:rsid w:val="002B4CAB"/>
    <w:rPr>
      <w:b/>
      <w:bCs/>
      <w:smallCaps/>
      <w:color w:val="0F4761" w:themeColor="accent1" w:themeShade="BF"/>
      <w:spacing w:val="5"/>
    </w:rPr>
  </w:style>
  <w:style w:type="paragraph" w:styleId="Normlnweb">
    <w:name w:val="Normal (Web)"/>
    <w:basedOn w:val="Normln"/>
    <w:uiPriority w:val="99"/>
    <w:semiHidden/>
    <w:unhideWhenUsed/>
    <w:rsid w:val="004F0463"/>
    <w:pPr>
      <w:spacing w:before="100" w:beforeAutospacing="1" w:after="100" w:afterAutospacing="1"/>
    </w:pPr>
    <w:rPr>
      <w:rFonts w:ascii="Times New Roman" w:eastAsia="Times New Roman" w:hAnsi="Times New Roman" w:cs="Times New Roman"/>
      <w:lang w:eastAsia="en-GB"/>
    </w:rPr>
  </w:style>
  <w:style w:type="paragraph" w:styleId="Zhlav">
    <w:name w:val="header"/>
    <w:basedOn w:val="Normln"/>
    <w:link w:val="ZhlavChar"/>
    <w:uiPriority w:val="99"/>
    <w:unhideWhenUsed/>
    <w:rsid w:val="004F0463"/>
    <w:pPr>
      <w:tabs>
        <w:tab w:val="center" w:pos="4513"/>
        <w:tab w:val="right" w:pos="9026"/>
      </w:tabs>
    </w:pPr>
  </w:style>
  <w:style w:type="character" w:customStyle="1" w:styleId="ZhlavChar">
    <w:name w:val="Záhlaví Char"/>
    <w:basedOn w:val="Standardnpsmoodstavce"/>
    <w:link w:val="Zhlav"/>
    <w:uiPriority w:val="99"/>
    <w:rsid w:val="004F0463"/>
  </w:style>
  <w:style w:type="paragraph" w:styleId="Zpat">
    <w:name w:val="footer"/>
    <w:basedOn w:val="Normln"/>
    <w:link w:val="ZpatChar"/>
    <w:uiPriority w:val="99"/>
    <w:unhideWhenUsed/>
    <w:rsid w:val="004F0463"/>
    <w:pPr>
      <w:tabs>
        <w:tab w:val="center" w:pos="4513"/>
        <w:tab w:val="right" w:pos="9026"/>
      </w:tabs>
    </w:pPr>
  </w:style>
  <w:style w:type="character" w:customStyle="1" w:styleId="ZpatChar">
    <w:name w:val="Zápatí Char"/>
    <w:basedOn w:val="Standardnpsmoodstavce"/>
    <w:link w:val="Zpat"/>
    <w:uiPriority w:val="99"/>
    <w:rsid w:val="004F0463"/>
  </w:style>
  <w:style w:type="character" w:styleId="Hypertextovodkaz">
    <w:name w:val="Hyperlink"/>
    <w:basedOn w:val="Standardnpsmoodstavce"/>
    <w:uiPriority w:val="99"/>
    <w:unhideWhenUsed/>
    <w:rsid w:val="00214A06"/>
    <w:rPr>
      <w:color w:val="467886" w:themeColor="hyperlink"/>
      <w:u w:val="single"/>
    </w:rPr>
  </w:style>
  <w:style w:type="character" w:styleId="Nevyeenzmnka">
    <w:name w:val="Unresolved Mention"/>
    <w:basedOn w:val="Standardnpsmoodstavce"/>
    <w:uiPriority w:val="99"/>
    <w:semiHidden/>
    <w:unhideWhenUsed/>
    <w:rsid w:val="00214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6619">
      <w:bodyDiv w:val="1"/>
      <w:marLeft w:val="0"/>
      <w:marRight w:val="0"/>
      <w:marTop w:val="0"/>
      <w:marBottom w:val="0"/>
      <w:divBdr>
        <w:top w:val="none" w:sz="0" w:space="0" w:color="auto"/>
        <w:left w:val="none" w:sz="0" w:space="0" w:color="auto"/>
        <w:bottom w:val="none" w:sz="0" w:space="0" w:color="auto"/>
        <w:right w:val="none" w:sz="0" w:space="0" w:color="auto"/>
      </w:divBdr>
      <w:divsChild>
        <w:div w:id="1545293786">
          <w:marLeft w:val="0"/>
          <w:marRight w:val="0"/>
          <w:marTop w:val="0"/>
          <w:marBottom w:val="0"/>
          <w:divBdr>
            <w:top w:val="none" w:sz="0" w:space="0" w:color="auto"/>
            <w:left w:val="none" w:sz="0" w:space="0" w:color="auto"/>
            <w:bottom w:val="none" w:sz="0" w:space="0" w:color="auto"/>
            <w:right w:val="none" w:sz="0" w:space="0" w:color="auto"/>
          </w:divBdr>
          <w:divsChild>
            <w:div w:id="1136029499">
              <w:marLeft w:val="0"/>
              <w:marRight w:val="0"/>
              <w:marTop w:val="0"/>
              <w:marBottom w:val="0"/>
              <w:divBdr>
                <w:top w:val="none" w:sz="0" w:space="0" w:color="auto"/>
                <w:left w:val="none" w:sz="0" w:space="0" w:color="auto"/>
                <w:bottom w:val="none" w:sz="0" w:space="0" w:color="auto"/>
                <w:right w:val="none" w:sz="0" w:space="0" w:color="auto"/>
              </w:divBdr>
              <w:divsChild>
                <w:div w:id="20613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3956">
      <w:bodyDiv w:val="1"/>
      <w:marLeft w:val="0"/>
      <w:marRight w:val="0"/>
      <w:marTop w:val="0"/>
      <w:marBottom w:val="0"/>
      <w:divBdr>
        <w:top w:val="none" w:sz="0" w:space="0" w:color="auto"/>
        <w:left w:val="none" w:sz="0" w:space="0" w:color="auto"/>
        <w:bottom w:val="none" w:sz="0" w:space="0" w:color="auto"/>
        <w:right w:val="none" w:sz="0" w:space="0" w:color="auto"/>
      </w:divBdr>
    </w:div>
    <w:div w:id="953630020">
      <w:bodyDiv w:val="1"/>
      <w:marLeft w:val="0"/>
      <w:marRight w:val="0"/>
      <w:marTop w:val="0"/>
      <w:marBottom w:val="0"/>
      <w:divBdr>
        <w:top w:val="none" w:sz="0" w:space="0" w:color="auto"/>
        <w:left w:val="none" w:sz="0" w:space="0" w:color="auto"/>
        <w:bottom w:val="none" w:sz="0" w:space="0" w:color="auto"/>
        <w:right w:val="none" w:sz="0" w:space="0" w:color="auto"/>
      </w:divBdr>
    </w:div>
    <w:div w:id="125744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scope.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nukib.gov.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a@phoenixcom.cz" TargetMode="External"/><Relationship Id="rId5" Type="http://schemas.openxmlformats.org/officeDocument/2006/relationships/footnotes" Target="footnotes.xml"/><Relationship Id="rId10" Type="http://schemas.openxmlformats.org/officeDocument/2006/relationships/hyperlink" Target="https://www.facebook.com/Forscope/" TargetMode="External"/><Relationship Id="rId4" Type="http://schemas.openxmlformats.org/officeDocument/2006/relationships/webSettings" Target="webSettings.xml"/><Relationship Id="rId9" Type="http://schemas.openxmlformats.org/officeDocument/2006/relationships/hyperlink" Target="https://www.linkedin.com/company/forscope/posts/?feedView=al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900</Words>
  <Characters>5316</Characters>
  <Application>Microsoft Office Word</Application>
  <DocSecurity>0</DocSecurity>
  <Lines>44</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Gidei</dc:creator>
  <cp:keywords/>
  <dc:description/>
  <cp:lastModifiedBy>Petra Losertová | PHOENIXCOM</cp:lastModifiedBy>
  <cp:revision>6</cp:revision>
  <dcterms:created xsi:type="dcterms:W3CDTF">2025-02-11T12:35:00Z</dcterms:created>
  <dcterms:modified xsi:type="dcterms:W3CDTF">2025-02-28T10:27:00Z</dcterms:modified>
</cp:coreProperties>
</file>