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7C83" w14:textId="77777777" w:rsidR="00940000" w:rsidRPr="007877B1" w:rsidRDefault="00940000" w:rsidP="0076273C">
      <w:pPr>
        <w:jc w:val="center"/>
        <w:rPr>
          <w:rFonts w:ascii="Tahoma" w:hAnsi="Tahoma" w:cs="Tahoma"/>
        </w:rPr>
      </w:pPr>
      <w:bookmarkStart w:id="0" w:name="_Hlk199946154"/>
    </w:p>
    <w:p w14:paraId="790A8F0D" w14:textId="2B334839" w:rsidR="0076273C" w:rsidRPr="008369CC" w:rsidRDefault="0076273C" w:rsidP="0076273C">
      <w:pPr>
        <w:jc w:val="center"/>
        <w:rPr>
          <w:rFonts w:ascii="Tahoma" w:hAnsi="Tahoma" w:cs="Tahoma"/>
          <w:sz w:val="28"/>
          <w:szCs w:val="28"/>
        </w:rPr>
      </w:pPr>
      <w:r w:rsidRPr="008369CC">
        <w:rPr>
          <w:rFonts w:ascii="Tahoma" w:hAnsi="Tahoma" w:cs="Tahoma"/>
          <w:sz w:val="28"/>
          <w:szCs w:val="28"/>
        </w:rPr>
        <w:t>TISKOVÁ ZPRÁVA</w:t>
      </w:r>
    </w:p>
    <w:p w14:paraId="5B6A75CC" w14:textId="038B90A2" w:rsidR="0076273C" w:rsidRDefault="0076273C" w:rsidP="0076273C">
      <w:pPr>
        <w:rPr>
          <w:rFonts w:ascii="Tahoma" w:hAnsi="Tahoma" w:cs="Tahoma"/>
          <w:b/>
          <w:bCs/>
          <w:sz w:val="28"/>
          <w:szCs w:val="28"/>
        </w:rPr>
      </w:pPr>
    </w:p>
    <w:p w14:paraId="79BB661D" w14:textId="1265486D" w:rsidR="00EB080E" w:rsidRPr="00745679" w:rsidRDefault="00745679" w:rsidP="00CF3DC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745679">
        <w:rPr>
          <w:rFonts w:ascii="Tahoma" w:eastAsia="Proxima Nova" w:hAnsi="Tahoma" w:cs="Tahoma"/>
          <w:b/>
          <w:bCs/>
          <w:sz w:val="28"/>
          <w:szCs w:val="28"/>
        </w:rPr>
        <w:t xml:space="preserve">Když cloud nestačí: proč se </w:t>
      </w:r>
      <w:r w:rsidRPr="00745679">
        <w:rPr>
          <w:rFonts w:ascii="Tahoma" w:eastAsia="Proxima Nova" w:hAnsi="Tahoma" w:cs="Tahoma"/>
          <w:b/>
          <w:bCs/>
          <w:sz w:val="28"/>
          <w:szCs w:val="28"/>
        </w:rPr>
        <w:t xml:space="preserve">firmám </w:t>
      </w:r>
      <w:r w:rsidRPr="00745679">
        <w:rPr>
          <w:rFonts w:ascii="Tahoma" w:eastAsia="Proxima Nova" w:hAnsi="Tahoma" w:cs="Tahoma"/>
          <w:b/>
          <w:bCs/>
          <w:sz w:val="28"/>
          <w:szCs w:val="28"/>
        </w:rPr>
        <w:t>vyplatí trvalé licence Microsoft</w:t>
      </w:r>
    </w:p>
    <w:p w14:paraId="33E0E832" w14:textId="77777777" w:rsidR="00286354" w:rsidRDefault="00286354" w:rsidP="00CF3DC8">
      <w:pPr>
        <w:jc w:val="center"/>
        <w:rPr>
          <w:rFonts w:ascii="Tahoma" w:hAnsi="Tahoma" w:cs="Tahoma"/>
          <w:sz w:val="22"/>
          <w:szCs w:val="22"/>
        </w:rPr>
      </w:pPr>
    </w:p>
    <w:p w14:paraId="65853635" w14:textId="17FE1959" w:rsidR="00AF556C" w:rsidRDefault="00AF556C" w:rsidP="00AF556C">
      <w:pPr>
        <w:rPr>
          <w:rFonts w:ascii="Tahoma" w:eastAsia="Proxima Nova" w:hAnsi="Tahoma" w:cs="Tahoma"/>
          <w:b/>
          <w:bCs/>
          <w:sz w:val="22"/>
          <w:szCs w:val="22"/>
        </w:rPr>
      </w:pPr>
      <w:r w:rsidRPr="00AF556C">
        <w:rPr>
          <w:rFonts w:ascii="Tahoma" w:eastAsia="Proxima Nova" w:hAnsi="Tahoma" w:cs="Tahoma"/>
          <w:sz w:val="22"/>
          <w:szCs w:val="22"/>
        </w:rPr>
        <w:t xml:space="preserve">Praha, </w:t>
      </w:r>
      <w:r>
        <w:rPr>
          <w:rFonts w:ascii="Tahoma" w:eastAsia="Proxima Nova" w:hAnsi="Tahoma" w:cs="Tahoma"/>
          <w:sz w:val="22"/>
          <w:szCs w:val="22"/>
        </w:rPr>
        <w:t>25</w:t>
      </w:r>
      <w:r w:rsidRPr="00AF556C">
        <w:rPr>
          <w:rFonts w:ascii="Tahoma" w:eastAsia="Proxima Nova" w:hAnsi="Tahoma" w:cs="Tahoma"/>
          <w:sz w:val="22"/>
          <w:szCs w:val="22"/>
        </w:rPr>
        <w:t xml:space="preserve">. listopadu 2025 – </w:t>
      </w:r>
      <w:r w:rsidRPr="00AF556C">
        <w:rPr>
          <w:rFonts w:ascii="Tahoma" w:eastAsia="Proxima Nova" w:hAnsi="Tahoma" w:cs="Tahoma"/>
          <w:b/>
          <w:bCs/>
          <w:sz w:val="22"/>
          <w:szCs w:val="22"/>
        </w:rPr>
        <w:t xml:space="preserve">Minulý měsíc došlo potichu k významné změně v oblasti podnikových IT. Windows 10, Office 2016/2019 a Exchange Server 2019 oficiálně dosáhly konce podpory, čímž ztratily nárok na bezpečnostní aktualizace, opravy i vylepšování funkcí. Pro mnoho organizací přitom tyto nástroje téměř </w:t>
      </w:r>
      <w:r>
        <w:rPr>
          <w:rFonts w:ascii="Tahoma" w:eastAsia="Proxima Nova" w:hAnsi="Tahoma" w:cs="Tahoma"/>
          <w:b/>
          <w:bCs/>
          <w:sz w:val="22"/>
          <w:szCs w:val="22"/>
        </w:rPr>
        <w:t>10</w:t>
      </w:r>
      <w:r w:rsidRPr="00AF556C">
        <w:rPr>
          <w:rFonts w:ascii="Tahoma" w:eastAsia="Proxima Nova" w:hAnsi="Tahoma" w:cs="Tahoma"/>
          <w:b/>
          <w:bCs/>
          <w:sz w:val="22"/>
          <w:szCs w:val="22"/>
        </w:rPr>
        <w:t xml:space="preserve"> let tvořily jádro každodenního provozu. Jejich vyřazení z provozu nyní nutí IT týmy znovu promyslet strategii volby platformy, přístup k upgradům i způsob nákupu dlouhodobých licencí.</w:t>
      </w:r>
    </w:p>
    <w:p w14:paraId="34991FD4" w14:textId="77777777" w:rsidR="00AF556C" w:rsidRP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</w:p>
    <w:p w14:paraId="427D7E4C" w14:textId="77777777" w:rsidR="00AF556C" w:rsidRP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  <w:r w:rsidRPr="00AF556C">
        <w:rPr>
          <w:rFonts w:ascii="Tahoma" w:eastAsia="Proxima Nova" w:hAnsi="Tahoma" w:cs="Tahoma"/>
          <w:sz w:val="22"/>
          <w:szCs w:val="22"/>
        </w:rPr>
        <w:t>Teoreticky by měl být přechod jednoduchý: přejít na Windows 11, nasadit novější verze Office či cloudová předplatná a spoléhat na rozšířené bezpečnostní aktualizace pro systémy, které organizace nadále používá. Ve skutečnosti se ale většina společností musí zároveň vypořádat se smíšenou infrastrukturou, staršími aplikacemi, zařízeními, která nelze upgradovat, a stále napjatějšími rozpočty. Klíčovou otázkou se proto stává, jak provést modernizaci bezpečně, aniž by došlo ke ztrátě kontroly nad náklady, souladem s legislativou a provozní kontinuitou.</w:t>
      </w:r>
    </w:p>
    <w:p w14:paraId="13C536CB" w14:textId="77777777" w:rsidR="00AF556C" w:rsidRDefault="00AF556C" w:rsidP="00AF556C">
      <w:pPr>
        <w:rPr>
          <w:rFonts w:ascii="Tahoma" w:eastAsia="Proxima Nova" w:hAnsi="Tahoma" w:cs="Tahoma"/>
          <w:b/>
          <w:bCs/>
          <w:sz w:val="22"/>
          <w:szCs w:val="22"/>
        </w:rPr>
      </w:pPr>
    </w:p>
    <w:p w14:paraId="63630ACA" w14:textId="7166E752" w:rsidR="00AF556C" w:rsidRP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  <w:r w:rsidRPr="00AF556C">
        <w:rPr>
          <w:rFonts w:ascii="Tahoma" w:eastAsia="Proxima Nova" w:hAnsi="Tahoma" w:cs="Tahoma"/>
          <w:b/>
          <w:bCs/>
          <w:sz w:val="22"/>
          <w:szCs w:val="22"/>
        </w:rPr>
        <w:t>Trvalé licence jako pevný bod</w:t>
      </w:r>
    </w:p>
    <w:p w14:paraId="1D35A352" w14:textId="77777777" w:rsid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  <w:r w:rsidRPr="00AF556C">
        <w:rPr>
          <w:rFonts w:ascii="Tahoma" w:eastAsia="Proxima Nova" w:hAnsi="Tahoma" w:cs="Tahoma"/>
          <w:sz w:val="22"/>
          <w:szCs w:val="22"/>
        </w:rPr>
        <w:t>Pro mnoho IT oddělení představuje jeden z nejpraktičtějších modelů, který je v současné debatě zaměřené na předplatná často opomíjen, využití trvalých hromadných licencí Microsoft. Plně podporované Windows 11, Windows 10 LTSC a Office 2021/2024 poskytují organizacím jasný a předvídatelný životní cyklus produktu: zaplatí pouze jednou, software mohou používat po celou dobu jeho podpory a samy rozhodují, kdy přejdou na další verzi. Tento přístup je obzvlášť cenný v prostředích, kde je stabilita na prvním místě – ve výrobě, zdravotnictví, veřejném sektoru nebo ve finančních operacích.</w:t>
      </w:r>
    </w:p>
    <w:p w14:paraId="50B3A947" w14:textId="77777777" w:rsid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</w:p>
    <w:p w14:paraId="00DFB275" w14:textId="2DC74520" w:rsidR="00AF556C" w:rsidRP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  <w:r w:rsidRPr="00AF556C">
        <w:rPr>
          <w:rFonts w:ascii="Tahoma" w:eastAsia="Proxima Nova" w:hAnsi="Tahoma" w:cs="Tahoma"/>
          <w:sz w:val="22"/>
          <w:szCs w:val="22"/>
        </w:rPr>
        <w:t xml:space="preserve">Kromě předvídatelnosti nákladů přináší hromadné licencování strukturu a pořádek do správy většího počtu licencí. Namísto stovek roztroušených OEM nebo retailových klíčů mohou organizace centralizovat aktivaci pomocí klíčů pro hromadnou aktivaci (MAK), KMS a nástrojů, jako je Microsoft </w:t>
      </w:r>
      <w:proofErr w:type="spellStart"/>
      <w:r w:rsidRPr="00AF556C">
        <w:rPr>
          <w:rFonts w:ascii="Tahoma" w:eastAsia="Proxima Nova" w:hAnsi="Tahoma" w:cs="Tahoma"/>
          <w:sz w:val="22"/>
          <w:szCs w:val="22"/>
        </w:rPr>
        <w:t>Volume</w:t>
      </w:r>
      <w:proofErr w:type="spellEnd"/>
      <w:r w:rsidRPr="00AF556C">
        <w:rPr>
          <w:rFonts w:ascii="Tahoma" w:eastAsia="Proxima Nova" w:hAnsi="Tahoma" w:cs="Tahoma"/>
          <w:sz w:val="22"/>
          <w:szCs w:val="22"/>
        </w:rPr>
        <w:t xml:space="preserve"> </w:t>
      </w:r>
      <w:proofErr w:type="spellStart"/>
      <w:r w:rsidRPr="00AF556C">
        <w:rPr>
          <w:rFonts w:ascii="Tahoma" w:eastAsia="Proxima Nova" w:hAnsi="Tahoma" w:cs="Tahoma"/>
          <w:sz w:val="22"/>
          <w:szCs w:val="22"/>
        </w:rPr>
        <w:t>Activation</w:t>
      </w:r>
      <w:proofErr w:type="spellEnd"/>
      <w:r w:rsidRPr="00AF556C">
        <w:rPr>
          <w:rFonts w:ascii="Tahoma" w:eastAsia="Proxima Nova" w:hAnsi="Tahoma" w:cs="Tahoma"/>
          <w:sz w:val="22"/>
          <w:szCs w:val="22"/>
        </w:rPr>
        <w:t xml:space="preserve"> Management </w:t>
      </w:r>
      <w:proofErr w:type="spellStart"/>
      <w:r w:rsidRPr="00AF556C">
        <w:rPr>
          <w:rFonts w:ascii="Tahoma" w:eastAsia="Proxima Nova" w:hAnsi="Tahoma" w:cs="Tahoma"/>
          <w:sz w:val="22"/>
          <w:szCs w:val="22"/>
        </w:rPr>
        <w:t>Tool</w:t>
      </w:r>
      <w:proofErr w:type="spellEnd"/>
      <w:r w:rsidRPr="00AF556C">
        <w:rPr>
          <w:rFonts w:ascii="Tahoma" w:eastAsia="Proxima Nova" w:hAnsi="Tahoma" w:cs="Tahoma"/>
          <w:sz w:val="22"/>
          <w:szCs w:val="22"/>
        </w:rPr>
        <w:t xml:space="preserve"> (VAMT). Nasazení i dodržování předpisů se tak stávají sledovatelnými, kontrolovatelnými a výrazně lépe spravovatelnými.</w:t>
      </w:r>
    </w:p>
    <w:p w14:paraId="0604DE8E" w14:textId="77777777" w:rsid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</w:p>
    <w:p w14:paraId="1DBBBB73" w14:textId="3674697F" w:rsidR="00AF556C" w:rsidRPr="00AF556C" w:rsidRDefault="00AF556C" w:rsidP="00AF556C">
      <w:pPr>
        <w:rPr>
          <w:rFonts w:ascii="Tahoma" w:eastAsia="Proxima Nova" w:hAnsi="Tahoma" w:cs="Tahoma"/>
          <w:b/>
          <w:bCs/>
          <w:sz w:val="22"/>
          <w:szCs w:val="22"/>
        </w:rPr>
      </w:pPr>
      <w:r w:rsidRPr="00AF556C">
        <w:rPr>
          <w:rFonts w:ascii="Tahoma" w:eastAsia="Proxima Nova" w:hAnsi="Tahoma" w:cs="Tahoma"/>
          <w:i/>
          <w:iCs/>
          <w:sz w:val="22"/>
          <w:szCs w:val="22"/>
        </w:rPr>
        <w:t>„Konec podpory systému Windows 10 je příležitostí, aby organizace přehodnotily svou licenční strategii. Výzvu nepředstavuje volba mezi předplatným a trvalými licencemi, ale pochopení toho, jak je chytře zkombinovat. Dobře navržená kombinace může snížit dlouhodobé náklady a zachovat stabilitu tam, kde je potřeba, a zároveň umožnit inovace tam, kde přinášejí skutečnou hodnotu,“</w:t>
      </w:r>
      <w:r w:rsidRPr="00AF556C">
        <w:rPr>
          <w:rFonts w:ascii="Tahoma" w:eastAsia="Proxima Nova" w:hAnsi="Tahoma" w:cs="Tahoma"/>
          <w:sz w:val="22"/>
          <w:szCs w:val="22"/>
        </w:rPr>
        <w:t xml:space="preserve"> říká </w:t>
      </w:r>
      <w:r w:rsidRPr="00AF556C">
        <w:rPr>
          <w:rFonts w:ascii="Tahoma" w:eastAsia="Proxima Nova" w:hAnsi="Tahoma" w:cs="Tahoma"/>
          <w:b/>
          <w:bCs/>
          <w:sz w:val="22"/>
          <w:szCs w:val="22"/>
        </w:rPr>
        <w:t xml:space="preserve">Mateusz </w:t>
      </w:r>
      <w:proofErr w:type="spellStart"/>
      <w:r w:rsidRPr="00AF556C">
        <w:rPr>
          <w:rFonts w:ascii="Tahoma" w:eastAsia="Proxima Nova" w:hAnsi="Tahoma" w:cs="Tahoma"/>
          <w:b/>
          <w:bCs/>
          <w:sz w:val="22"/>
          <w:szCs w:val="22"/>
        </w:rPr>
        <w:t>Drozdowski</w:t>
      </w:r>
      <w:proofErr w:type="spellEnd"/>
      <w:r w:rsidRPr="00AF556C">
        <w:rPr>
          <w:rFonts w:ascii="Tahoma" w:eastAsia="Proxima Nova" w:hAnsi="Tahoma" w:cs="Tahoma"/>
          <w:b/>
          <w:bCs/>
          <w:sz w:val="22"/>
          <w:szCs w:val="22"/>
        </w:rPr>
        <w:t xml:space="preserve">, </w:t>
      </w:r>
      <w:proofErr w:type="spellStart"/>
      <w:r w:rsidRPr="00AF556C">
        <w:rPr>
          <w:rFonts w:ascii="Tahoma" w:eastAsia="Proxima Nova" w:hAnsi="Tahoma" w:cs="Tahoma"/>
          <w:b/>
          <w:bCs/>
          <w:sz w:val="22"/>
          <w:szCs w:val="22"/>
        </w:rPr>
        <w:t>Head</w:t>
      </w:r>
      <w:proofErr w:type="spellEnd"/>
      <w:r w:rsidRPr="00AF556C">
        <w:rPr>
          <w:rFonts w:ascii="Tahoma" w:eastAsia="Proxima Nova" w:hAnsi="Tahoma" w:cs="Tahoma"/>
          <w:b/>
          <w:bCs/>
          <w:sz w:val="22"/>
          <w:szCs w:val="22"/>
        </w:rPr>
        <w:t xml:space="preserve"> </w:t>
      </w:r>
      <w:proofErr w:type="spellStart"/>
      <w:r w:rsidRPr="00AF556C">
        <w:rPr>
          <w:rFonts w:ascii="Tahoma" w:eastAsia="Proxima Nova" w:hAnsi="Tahoma" w:cs="Tahoma"/>
          <w:b/>
          <w:bCs/>
          <w:sz w:val="22"/>
          <w:szCs w:val="22"/>
        </w:rPr>
        <w:t>of</w:t>
      </w:r>
      <w:proofErr w:type="spellEnd"/>
      <w:r w:rsidRPr="00AF556C">
        <w:rPr>
          <w:rFonts w:ascii="Tahoma" w:eastAsia="Proxima Nova" w:hAnsi="Tahoma" w:cs="Tahoma"/>
          <w:b/>
          <w:bCs/>
          <w:sz w:val="22"/>
          <w:szCs w:val="22"/>
        </w:rPr>
        <w:t xml:space="preserve"> </w:t>
      </w:r>
      <w:proofErr w:type="spellStart"/>
      <w:r w:rsidRPr="00AF556C">
        <w:rPr>
          <w:rFonts w:ascii="Tahoma" w:eastAsia="Proxima Nova" w:hAnsi="Tahoma" w:cs="Tahoma"/>
          <w:b/>
          <w:bCs/>
          <w:sz w:val="22"/>
          <w:szCs w:val="22"/>
        </w:rPr>
        <w:t>Solutions</w:t>
      </w:r>
      <w:proofErr w:type="spellEnd"/>
      <w:r w:rsidRPr="00AF556C">
        <w:rPr>
          <w:rFonts w:ascii="Tahoma" w:eastAsia="Proxima Nova" w:hAnsi="Tahoma" w:cs="Tahoma"/>
          <w:b/>
          <w:bCs/>
          <w:sz w:val="22"/>
          <w:szCs w:val="22"/>
        </w:rPr>
        <w:t xml:space="preserve"> ve společnosti </w:t>
      </w:r>
      <w:proofErr w:type="spellStart"/>
      <w:r w:rsidRPr="00AF556C">
        <w:rPr>
          <w:rFonts w:ascii="Tahoma" w:eastAsia="Proxima Nova" w:hAnsi="Tahoma" w:cs="Tahoma"/>
          <w:b/>
          <w:bCs/>
          <w:sz w:val="22"/>
          <w:szCs w:val="22"/>
        </w:rPr>
        <w:t>Forscope</w:t>
      </w:r>
      <w:proofErr w:type="spellEnd"/>
      <w:r w:rsidRPr="00AF556C">
        <w:rPr>
          <w:rFonts w:ascii="Tahoma" w:eastAsia="Proxima Nova" w:hAnsi="Tahoma" w:cs="Tahoma"/>
          <w:b/>
          <w:bCs/>
          <w:sz w:val="22"/>
          <w:szCs w:val="22"/>
        </w:rPr>
        <w:t>.</w:t>
      </w:r>
    </w:p>
    <w:p w14:paraId="5C8099CF" w14:textId="77777777" w:rsid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</w:p>
    <w:p w14:paraId="13FFD6C0" w14:textId="4612DBA1" w:rsidR="00AF556C" w:rsidRP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  <w:r w:rsidRPr="00AF556C">
        <w:rPr>
          <w:rFonts w:ascii="Tahoma" w:eastAsia="Proxima Nova" w:hAnsi="Tahoma" w:cs="Tahoma"/>
          <w:b/>
          <w:bCs/>
          <w:sz w:val="22"/>
          <w:szCs w:val="22"/>
        </w:rPr>
        <w:t>Budoucnost v kombinaci modelů</w:t>
      </w:r>
    </w:p>
    <w:p w14:paraId="05CA76DA" w14:textId="482E4730" w:rsid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  <w:r w:rsidRPr="00AF556C">
        <w:rPr>
          <w:rFonts w:ascii="Tahoma" w:eastAsia="Proxima Nova" w:hAnsi="Tahoma" w:cs="Tahoma"/>
          <w:sz w:val="22"/>
          <w:szCs w:val="22"/>
        </w:rPr>
        <w:t>Tento vyvážený přístup odráží realitu, s níž se budou IT oddělení potýkat v následujících měsících. Ukončení podpory klíčových produktů společnosti Microsoft je sice příležitostí k modernizaci, ale neexistuje jedno univerzální řešení. Trvalé hromadné licence proto často tvoří základ bezpečných, kompatibilních a nákladově efektivních implementací, zatímco předplatná lze cíleně nasazovat tam, kde jejich investici ospravedlňují funkce pro spolupráci a cloudové služby.</w:t>
      </w:r>
    </w:p>
    <w:p w14:paraId="3A54F861" w14:textId="77777777" w:rsidR="00AF556C" w:rsidRP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</w:p>
    <w:p w14:paraId="46EAD877" w14:textId="57354151" w:rsidR="00AF556C" w:rsidRDefault="00AF556C" w:rsidP="00AF556C">
      <w:pPr>
        <w:rPr>
          <w:rFonts w:ascii="Tahoma" w:eastAsia="Proxima Nova" w:hAnsi="Tahoma" w:cs="Tahoma"/>
          <w:sz w:val="22"/>
          <w:szCs w:val="22"/>
        </w:rPr>
      </w:pPr>
      <w:r w:rsidRPr="00AF556C">
        <w:rPr>
          <w:rFonts w:ascii="Tahoma" w:eastAsia="Proxima Nova" w:hAnsi="Tahoma" w:cs="Tahoma"/>
          <w:sz w:val="22"/>
          <w:szCs w:val="22"/>
        </w:rPr>
        <w:t>Pro většinu organizací tak budoucnost nespočívá ve výběru jednoho modelu místo druhého, ale v navržení licenčního prostředí, které kombinuje předvídatelnost, flexibilitu a dlouhodobou hodnotu.</w:t>
      </w:r>
    </w:p>
    <w:p w14:paraId="6C11B966" w14:textId="3F7D0C93" w:rsidR="00286354" w:rsidRDefault="00286354" w:rsidP="007C297F">
      <w:pPr>
        <w:jc w:val="both"/>
        <w:rPr>
          <w:rFonts w:ascii="Tahoma" w:eastAsia="Proxima Nova" w:hAnsi="Tahoma" w:cs="Tahoma"/>
          <w:sz w:val="22"/>
          <w:szCs w:val="22"/>
        </w:rPr>
      </w:pPr>
    </w:p>
    <w:p w14:paraId="0A028B49" w14:textId="2D80C5D0" w:rsidR="00AA4274" w:rsidRPr="003F035C" w:rsidRDefault="00AA4274" w:rsidP="00AA4274">
      <w:pPr>
        <w:jc w:val="center"/>
        <w:rPr>
          <w:rFonts w:ascii="Tahoma" w:hAnsi="Tahoma" w:cs="Tahoma"/>
          <w:sz w:val="22"/>
          <w:szCs w:val="22"/>
        </w:rPr>
      </w:pPr>
      <w:r w:rsidRPr="00AA4274">
        <w:rPr>
          <w:rFonts w:ascii="Tahoma" w:hAnsi="Tahoma" w:cs="Tahoma"/>
          <w:sz w:val="22"/>
          <w:szCs w:val="22"/>
        </w:rPr>
        <w:t>###</w:t>
      </w:r>
    </w:p>
    <w:bookmarkEnd w:id="0"/>
    <w:p w14:paraId="47A1EEB4" w14:textId="56662431" w:rsidR="004C7203" w:rsidRDefault="004C7203" w:rsidP="00B818DF">
      <w:pPr>
        <w:rPr>
          <w:rFonts w:ascii="Tahoma" w:hAnsi="Tahoma" w:cs="Tahoma"/>
          <w:sz w:val="22"/>
          <w:szCs w:val="22"/>
        </w:rPr>
      </w:pPr>
    </w:p>
    <w:p w14:paraId="39F9036D" w14:textId="77777777" w:rsidR="00AF556C" w:rsidRDefault="00AF556C" w:rsidP="00AA4274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8952564" w14:textId="2AFFFF7C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r w:rsidRPr="00AA4274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 xml:space="preserve">O </w:t>
      </w:r>
      <w:proofErr w:type="spellStart"/>
      <w:r w:rsidRPr="00AA4274">
        <w:rPr>
          <w:rFonts w:ascii="Tahoma" w:hAnsi="Tahoma" w:cs="Tahoma"/>
          <w:b/>
          <w:bCs/>
          <w:sz w:val="20"/>
          <w:szCs w:val="20"/>
          <w:u w:val="single"/>
        </w:rPr>
        <w:t>Forscope</w:t>
      </w:r>
      <w:proofErr w:type="spellEnd"/>
    </w:p>
    <w:p w14:paraId="4CC82C91" w14:textId="77777777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, největší softwarový broker ve střední a východní Evropě, nabízí plně licencovaná softwarová řešení prostřednictvím inovativního, nákladově efektivního modelu akvizice společnostem všech velikostí i veřejným institucím. Kromě toho firma dodává komplexní balíček služeb včetně technické podpory, licenčního a právního poradenství. </w:t>
      </w: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 se sídlem v České republice působí v dalších devíti zemích střední a východní Evropy. Je certifikovaným partnerem společnosti Microsoft a je držitelem certifikací ISO 9001:2015 a ISO 27001.</w:t>
      </w:r>
    </w:p>
    <w:p w14:paraId="096FEFB9" w14:textId="77777777" w:rsidR="003F035C" w:rsidRDefault="003F035C" w:rsidP="007A31AD">
      <w:pPr>
        <w:rPr>
          <w:rFonts w:ascii="Tahoma" w:hAnsi="Tahoma" w:cs="Tahoma"/>
          <w:sz w:val="22"/>
          <w:szCs w:val="22"/>
        </w:rPr>
      </w:pPr>
    </w:p>
    <w:p w14:paraId="540E78D0" w14:textId="77777777" w:rsidR="00D97495" w:rsidRDefault="00D97495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7FE620F3" w14:textId="7EF18ABC" w:rsidR="00F92A2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 více informací navštivte</w:t>
      </w:r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: </w:t>
      </w:r>
      <w:hyperlink r:id="rId7" w:history="1">
        <w:proofErr w:type="gramStart"/>
        <w:r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Web</w:t>
        </w:r>
        <w:proofErr w:type="gramEnd"/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8" w:history="1">
        <w:r w:rsidR="00582C0D"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LinkedIn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9" w:history="1">
        <w:r w:rsidR="00582C0D"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Faceboo</w:t>
        </w:r>
        <w:r w:rsidRPr="00D97495">
          <w:rPr>
            <w:rStyle w:val="Hyperlink"/>
            <w:rFonts w:ascii="Tahoma" w:hAnsi="Tahoma" w:cs="Tahoma"/>
            <w:sz w:val="20"/>
            <w:szCs w:val="20"/>
          </w:rPr>
          <w:t>k</w:t>
        </w:r>
      </w:hyperlink>
    </w:p>
    <w:p w14:paraId="2469BF16" w14:textId="77777777" w:rsidR="00686C87" w:rsidRDefault="00686C87" w:rsidP="008B7F29">
      <w:pPr>
        <w:jc w:val="both"/>
      </w:pPr>
    </w:p>
    <w:p w14:paraId="14AECCEF" w14:textId="77777777" w:rsidR="00686C87" w:rsidRPr="00D97495" w:rsidRDefault="00686C87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2D7EE19E" w14:textId="41300241" w:rsidR="004F0463" w:rsidRDefault="006E7A6A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Kontakt pro média</w:t>
      </w:r>
    </w:p>
    <w:p w14:paraId="6FCCB4D3" w14:textId="77777777" w:rsidR="00537FBD" w:rsidRPr="00D97495" w:rsidRDefault="00537FBD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2E629118" w14:textId="11D272FF" w:rsidR="006E7A6A" w:rsidRPr="00D97495" w:rsidRDefault="006E7A6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Petra Losertová / Phoenix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Communication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a.s.</w:t>
      </w:r>
    </w:p>
    <w:p w14:paraId="3B916896" w14:textId="75F3A70E" w:rsidR="006E7A6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E-mail: </w:t>
      </w:r>
      <w:hyperlink r:id="rId10" w:history="1">
        <w:r w:rsidRPr="00D97495">
          <w:rPr>
            <w:rStyle w:val="Hyperlink"/>
            <w:rFonts w:ascii="Tahoma" w:eastAsia="Times New Roman" w:hAnsi="Tahoma" w:cs="Tahoma"/>
            <w:sz w:val="20"/>
            <w:szCs w:val="20"/>
            <w:u w:val="none"/>
            <w:lang w:eastAsia="en-GB"/>
          </w:rPr>
          <w:t>petra@phoenixcom.cz</w:t>
        </w:r>
      </w:hyperlink>
    </w:p>
    <w:p w14:paraId="5F85F102" w14:textId="35E5250C" w:rsidR="00E27978" w:rsidRPr="006E7A6A" w:rsidRDefault="00494368" w:rsidP="002C6A89">
      <w:pPr>
        <w:jc w:val="both"/>
        <w:rPr>
          <w:sz w:val="22"/>
          <w:szCs w:val="22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Tel: +420 728 162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140</w:t>
      </w:r>
    </w:p>
    <w:sectPr w:rsidR="00E27978" w:rsidRPr="006E7A6A" w:rsidSect="00E64335">
      <w:headerReference w:type="default" r:id="rId11"/>
      <w:footerReference w:type="default" r:id="rId12"/>
      <w:pgSz w:w="11906" w:h="16838"/>
      <w:pgMar w:top="144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152C" w14:textId="77777777" w:rsidR="00FF565F" w:rsidRDefault="00FF565F" w:rsidP="004F0463">
      <w:r>
        <w:separator/>
      </w:r>
    </w:p>
  </w:endnote>
  <w:endnote w:type="continuationSeparator" w:id="0">
    <w:p w14:paraId="570AEDBD" w14:textId="77777777" w:rsidR="00FF565F" w:rsidRDefault="00FF565F" w:rsidP="004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8D84" w14:textId="3715A4A4" w:rsidR="009B52A9" w:rsidRDefault="009B52A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4B37" w14:textId="77777777" w:rsidR="00FF565F" w:rsidRDefault="00FF565F" w:rsidP="004F0463">
      <w:r>
        <w:separator/>
      </w:r>
    </w:p>
  </w:footnote>
  <w:footnote w:type="continuationSeparator" w:id="0">
    <w:p w14:paraId="5409B79C" w14:textId="77777777" w:rsidR="00FF565F" w:rsidRDefault="00FF565F" w:rsidP="004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7D" w14:textId="582AE371" w:rsidR="004F0463" w:rsidRDefault="0039419B" w:rsidP="004F046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44A29" wp14:editId="2A665163">
          <wp:simplePos x="0" y="0"/>
          <wp:positionH relativeFrom="column">
            <wp:posOffset>2323465</wp:posOffset>
          </wp:positionH>
          <wp:positionV relativeFrom="paragraph">
            <wp:posOffset>-407670</wp:posOffset>
          </wp:positionV>
          <wp:extent cx="1701478" cy="850739"/>
          <wp:effectExtent l="0" t="0" r="0" b="6985"/>
          <wp:wrapTight wrapText="bothSides">
            <wp:wrapPolygon edited="0">
              <wp:start x="0" y="0"/>
              <wp:lineTo x="0" y="21294"/>
              <wp:lineTo x="21286" y="21294"/>
              <wp:lineTo x="21286" y="0"/>
              <wp:lineTo x="0" y="0"/>
            </wp:wrapPolygon>
          </wp:wrapTight>
          <wp:docPr id="1023813885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98173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478" cy="850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51"/>
    <w:multiLevelType w:val="multilevel"/>
    <w:tmpl w:val="AF3AF9E6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04"/>
        </w:tabs>
        <w:ind w:left="75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44"/>
        </w:tabs>
        <w:ind w:left="89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64"/>
        </w:tabs>
        <w:ind w:left="966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A11D9"/>
    <w:multiLevelType w:val="multilevel"/>
    <w:tmpl w:val="D27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30624"/>
    <w:multiLevelType w:val="multilevel"/>
    <w:tmpl w:val="85D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7A082D"/>
    <w:multiLevelType w:val="multilevel"/>
    <w:tmpl w:val="8BB4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BB4D36"/>
    <w:multiLevelType w:val="hybridMultilevel"/>
    <w:tmpl w:val="0A74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1471"/>
    <w:multiLevelType w:val="hybridMultilevel"/>
    <w:tmpl w:val="E2BC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612B"/>
    <w:multiLevelType w:val="multilevel"/>
    <w:tmpl w:val="FB00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D7723"/>
    <w:multiLevelType w:val="hybridMultilevel"/>
    <w:tmpl w:val="C384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4149"/>
    <w:multiLevelType w:val="hybridMultilevel"/>
    <w:tmpl w:val="B8D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32E05"/>
    <w:multiLevelType w:val="multilevel"/>
    <w:tmpl w:val="7D8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ED5D06"/>
    <w:multiLevelType w:val="hybridMultilevel"/>
    <w:tmpl w:val="1248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3754"/>
    <w:multiLevelType w:val="hybridMultilevel"/>
    <w:tmpl w:val="1FCC2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50E04"/>
    <w:multiLevelType w:val="multilevel"/>
    <w:tmpl w:val="A89A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342ABC"/>
    <w:multiLevelType w:val="multilevel"/>
    <w:tmpl w:val="593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993952">
    <w:abstractNumId w:val="5"/>
  </w:num>
  <w:num w:numId="2" w16cid:durableId="936014110">
    <w:abstractNumId w:val="10"/>
  </w:num>
  <w:num w:numId="3" w16cid:durableId="1291859499">
    <w:abstractNumId w:val="7"/>
  </w:num>
  <w:num w:numId="4" w16cid:durableId="1957329107">
    <w:abstractNumId w:val="11"/>
  </w:num>
  <w:num w:numId="5" w16cid:durableId="1638023334">
    <w:abstractNumId w:val="8"/>
  </w:num>
  <w:num w:numId="6" w16cid:durableId="1270239037">
    <w:abstractNumId w:val="4"/>
  </w:num>
  <w:num w:numId="7" w16cid:durableId="1485313412">
    <w:abstractNumId w:val="0"/>
  </w:num>
  <w:num w:numId="8" w16cid:durableId="895434679">
    <w:abstractNumId w:val="2"/>
  </w:num>
  <w:num w:numId="9" w16cid:durableId="1248343535">
    <w:abstractNumId w:val="12"/>
  </w:num>
  <w:num w:numId="10" w16cid:durableId="473717918">
    <w:abstractNumId w:val="13"/>
  </w:num>
  <w:num w:numId="11" w16cid:durableId="1452163848">
    <w:abstractNumId w:val="1"/>
  </w:num>
  <w:num w:numId="12" w16cid:durableId="190578819">
    <w:abstractNumId w:val="6"/>
  </w:num>
  <w:num w:numId="13" w16cid:durableId="892886214">
    <w:abstractNumId w:val="3"/>
  </w:num>
  <w:num w:numId="14" w16cid:durableId="885339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B"/>
    <w:rsid w:val="00002F47"/>
    <w:rsid w:val="00010E6D"/>
    <w:rsid w:val="00011091"/>
    <w:rsid w:val="000212BF"/>
    <w:rsid w:val="00023C77"/>
    <w:rsid w:val="000349FE"/>
    <w:rsid w:val="000362B2"/>
    <w:rsid w:val="00036DAF"/>
    <w:rsid w:val="00065879"/>
    <w:rsid w:val="00075BDC"/>
    <w:rsid w:val="00080247"/>
    <w:rsid w:val="00082525"/>
    <w:rsid w:val="000A2A76"/>
    <w:rsid w:val="000B2D62"/>
    <w:rsid w:val="000E2834"/>
    <w:rsid w:val="000E46F9"/>
    <w:rsid w:val="000F7230"/>
    <w:rsid w:val="0011615D"/>
    <w:rsid w:val="001335FC"/>
    <w:rsid w:val="001340D3"/>
    <w:rsid w:val="00136960"/>
    <w:rsid w:val="00144F86"/>
    <w:rsid w:val="00145CFC"/>
    <w:rsid w:val="00146D5C"/>
    <w:rsid w:val="0016020E"/>
    <w:rsid w:val="00184062"/>
    <w:rsid w:val="001908D2"/>
    <w:rsid w:val="001A3872"/>
    <w:rsid w:val="001D6928"/>
    <w:rsid w:val="00203465"/>
    <w:rsid w:val="00210ABD"/>
    <w:rsid w:val="00214A06"/>
    <w:rsid w:val="00223FAA"/>
    <w:rsid w:val="00225FD2"/>
    <w:rsid w:val="002267FA"/>
    <w:rsid w:val="00231352"/>
    <w:rsid w:val="00244860"/>
    <w:rsid w:val="00244C35"/>
    <w:rsid w:val="002513C2"/>
    <w:rsid w:val="0025452D"/>
    <w:rsid w:val="00261A7C"/>
    <w:rsid w:val="00271B13"/>
    <w:rsid w:val="00271D2E"/>
    <w:rsid w:val="002735CD"/>
    <w:rsid w:val="00276BD5"/>
    <w:rsid w:val="00280A86"/>
    <w:rsid w:val="00286354"/>
    <w:rsid w:val="002A09BF"/>
    <w:rsid w:val="002A20D8"/>
    <w:rsid w:val="002B4CAB"/>
    <w:rsid w:val="002B7AC4"/>
    <w:rsid w:val="002C6A89"/>
    <w:rsid w:val="002C6F1F"/>
    <w:rsid w:val="002C713E"/>
    <w:rsid w:val="002E114B"/>
    <w:rsid w:val="002F47B8"/>
    <w:rsid w:val="0032059C"/>
    <w:rsid w:val="00323257"/>
    <w:rsid w:val="0032604A"/>
    <w:rsid w:val="00335BFF"/>
    <w:rsid w:val="00343278"/>
    <w:rsid w:val="00345CF3"/>
    <w:rsid w:val="0035561C"/>
    <w:rsid w:val="003745BA"/>
    <w:rsid w:val="0039419B"/>
    <w:rsid w:val="003C427C"/>
    <w:rsid w:val="003E272E"/>
    <w:rsid w:val="003F035C"/>
    <w:rsid w:val="0040480F"/>
    <w:rsid w:val="0040543A"/>
    <w:rsid w:val="0040654B"/>
    <w:rsid w:val="004123FC"/>
    <w:rsid w:val="00413F2F"/>
    <w:rsid w:val="00432899"/>
    <w:rsid w:val="00434BA0"/>
    <w:rsid w:val="00436E42"/>
    <w:rsid w:val="0044245D"/>
    <w:rsid w:val="00443EE8"/>
    <w:rsid w:val="004538A3"/>
    <w:rsid w:val="00463D6F"/>
    <w:rsid w:val="00494368"/>
    <w:rsid w:val="004A23F2"/>
    <w:rsid w:val="004A2A87"/>
    <w:rsid w:val="004A7728"/>
    <w:rsid w:val="004C266B"/>
    <w:rsid w:val="004C4D76"/>
    <w:rsid w:val="004C7203"/>
    <w:rsid w:val="004C7AF8"/>
    <w:rsid w:val="004E04DB"/>
    <w:rsid w:val="004F0463"/>
    <w:rsid w:val="005069A5"/>
    <w:rsid w:val="005119B4"/>
    <w:rsid w:val="00512C11"/>
    <w:rsid w:val="00536EBF"/>
    <w:rsid w:val="00537FBD"/>
    <w:rsid w:val="00541C25"/>
    <w:rsid w:val="00561FC6"/>
    <w:rsid w:val="005633A0"/>
    <w:rsid w:val="00565309"/>
    <w:rsid w:val="00571C60"/>
    <w:rsid w:val="005738E5"/>
    <w:rsid w:val="00575437"/>
    <w:rsid w:val="0057551B"/>
    <w:rsid w:val="00582C0D"/>
    <w:rsid w:val="00585F59"/>
    <w:rsid w:val="00593CC9"/>
    <w:rsid w:val="005B4AD9"/>
    <w:rsid w:val="005B5B5A"/>
    <w:rsid w:val="005C6A41"/>
    <w:rsid w:val="005D7222"/>
    <w:rsid w:val="005E68CD"/>
    <w:rsid w:val="005F4BB0"/>
    <w:rsid w:val="0060579E"/>
    <w:rsid w:val="00624E57"/>
    <w:rsid w:val="006277E7"/>
    <w:rsid w:val="006312C9"/>
    <w:rsid w:val="0065444A"/>
    <w:rsid w:val="00656F31"/>
    <w:rsid w:val="00660A02"/>
    <w:rsid w:val="00674CEC"/>
    <w:rsid w:val="00681D20"/>
    <w:rsid w:val="00686C87"/>
    <w:rsid w:val="006A2D0A"/>
    <w:rsid w:val="006A41B7"/>
    <w:rsid w:val="006A73B3"/>
    <w:rsid w:val="006C3BAB"/>
    <w:rsid w:val="006C7559"/>
    <w:rsid w:val="006D5E94"/>
    <w:rsid w:val="006D7FA4"/>
    <w:rsid w:val="006E7A6A"/>
    <w:rsid w:val="007013EC"/>
    <w:rsid w:val="00701D12"/>
    <w:rsid w:val="007058E9"/>
    <w:rsid w:val="00731D75"/>
    <w:rsid w:val="00740A90"/>
    <w:rsid w:val="00745679"/>
    <w:rsid w:val="00746DDF"/>
    <w:rsid w:val="0076273C"/>
    <w:rsid w:val="00763E36"/>
    <w:rsid w:val="0078178E"/>
    <w:rsid w:val="007877B1"/>
    <w:rsid w:val="007A31AD"/>
    <w:rsid w:val="007A5C87"/>
    <w:rsid w:val="007A6B8B"/>
    <w:rsid w:val="007B169F"/>
    <w:rsid w:val="007B62B7"/>
    <w:rsid w:val="007C23D9"/>
    <w:rsid w:val="007C297F"/>
    <w:rsid w:val="007C302D"/>
    <w:rsid w:val="007D0A78"/>
    <w:rsid w:val="007D7EE8"/>
    <w:rsid w:val="008127C4"/>
    <w:rsid w:val="00816A4D"/>
    <w:rsid w:val="008274AF"/>
    <w:rsid w:val="008369CC"/>
    <w:rsid w:val="00842403"/>
    <w:rsid w:val="008438F7"/>
    <w:rsid w:val="00877091"/>
    <w:rsid w:val="008852F3"/>
    <w:rsid w:val="00885B39"/>
    <w:rsid w:val="00887E3A"/>
    <w:rsid w:val="008B0E48"/>
    <w:rsid w:val="008B7F29"/>
    <w:rsid w:val="008C67C6"/>
    <w:rsid w:val="008D0EB6"/>
    <w:rsid w:val="008D7155"/>
    <w:rsid w:val="008E08CF"/>
    <w:rsid w:val="008E1C0A"/>
    <w:rsid w:val="008E3BC3"/>
    <w:rsid w:val="008E60AD"/>
    <w:rsid w:val="008F2ED8"/>
    <w:rsid w:val="008F7305"/>
    <w:rsid w:val="00902080"/>
    <w:rsid w:val="00916018"/>
    <w:rsid w:val="0093778B"/>
    <w:rsid w:val="00940000"/>
    <w:rsid w:val="0095049C"/>
    <w:rsid w:val="00951368"/>
    <w:rsid w:val="00961750"/>
    <w:rsid w:val="009637D0"/>
    <w:rsid w:val="009679AF"/>
    <w:rsid w:val="00973CB5"/>
    <w:rsid w:val="009A31DD"/>
    <w:rsid w:val="009B111F"/>
    <w:rsid w:val="009B52A9"/>
    <w:rsid w:val="009B612A"/>
    <w:rsid w:val="009C4669"/>
    <w:rsid w:val="009D1BE8"/>
    <w:rsid w:val="009F4136"/>
    <w:rsid w:val="009F5DF0"/>
    <w:rsid w:val="00A023A4"/>
    <w:rsid w:val="00A02F66"/>
    <w:rsid w:val="00A1437A"/>
    <w:rsid w:val="00A23C89"/>
    <w:rsid w:val="00A25D31"/>
    <w:rsid w:val="00A3097A"/>
    <w:rsid w:val="00A37855"/>
    <w:rsid w:val="00A56738"/>
    <w:rsid w:val="00A718B3"/>
    <w:rsid w:val="00A73BFA"/>
    <w:rsid w:val="00A8196B"/>
    <w:rsid w:val="00AA1CA7"/>
    <w:rsid w:val="00AA4274"/>
    <w:rsid w:val="00AC5497"/>
    <w:rsid w:val="00AD13F3"/>
    <w:rsid w:val="00AE1EB1"/>
    <w:rsid w:val="00AF556C"/>
    <w:rsid w:val="00AF6054"/>
    <w:rsid w:val="00AF7C31"/>
    <w:rsid w:val="00B24542"/>
    <w:rsid w:val="00B25D4B"/>
    <w:rsid w:val="00B4147D"/>
    <w:rsid w:val="00B5425F"/>
    <w:rsid w:val="00B75626"/>
    <w:rsid w:val="00B818DF"/>
    <w:rsid w:val="00B848E7"/>
    <w:rsid w:val="00B91E69"/>
    <w:rsid w:val="00B93774"/>
    <w:rsid w:val="00BA012B"/>
    <w:rsid w:val="00BA2CE8"/>
    <w:rsid w:val="00BA572C"/>
    <w:rsid w:val="00BB071A"/>
    <w:rsid w:val="00BD3B3B"/>
    <w:rsid w:val="00BE6E88"/>
    <w:rsid w:val="00BF463A"/>
    <w:rsid w:val="00BF7B79"/>
    <w:rsid w:val="00C20748"/>
    <w:rsid w:val="00C228D4"/>
    <w:rsid w:val="00C2409E"/>
    <w:rsid w:val="00C2485F"/>
    <w:rsid w:val="00C25B33"/>
    <w:rsid w:val="00C26F1A"/>
    <w:rsid w:val="00C33D91"/>
    <w:rsid w:val="00C34E51"/>
    <w:rsid w:val="00C41D7C"/>
    <w:rsid w:val="00C429EE"/>
    <w:rsid w:val="00C5454D"/>
    <w:rsid w:val="00C56306"/>
    <w:rsid w:val="00C6189C"/>
    <w:rsid w:val="00C644F7"/>
    <w:rsid w:val="00C70455"/>
    <w:rsid w:val="00C75C3F"/>
    <w:rsid w:val="00C8619C"/>
    <w:rsid w:val="00C8620C"/>
    <w:rsid w:val="00C97EB9"/>
    <w:rsid w:val="00CA3282"/>
    <w:rsid w:val="00CA4143"/>
    <w:rsid w:val="00CA54F3"/>
    <w:rsid w:val="00CB3944"/>
    <w:rsid w:val="00CC5420"/>
    <w:rsid w:val="00CC6D49"/>
    <w:rsid w:val="00CD101F"/>
    <w:rsid w:val="00CF24A1"/>
    <w:rsid w:val="00CF3DC8"/>
    <w:rsid w:val="00D44BBA"/>
    <w:rsid w:val="00D5645D"/>
    <w:rsid w:val="00D62EB6"/>
    <w:rsid w:val="00D72E62"/>
    <w:rsid w:val="00D733C2"/>
    <w:rsid w:val="00D86868"/>
    <w:rsid w:val="00D97495"/>
    <w:rsid w:val="00DA1B0D"/>
    <w:rsid w:val="00DA2D93"/>
    <w:rsid w:val="00DB1400"/>
    <w:rsid w:val="00DD3515"/>
    <w:rsid w:val="00DE0C38"/>
    <w:rsid w:val="00E0284A"/>
    <w:rsid w:val="00E0635D"/>
    <w:rsid w:val="00E07925"/>
    <w:rsid w:val="00E21868"/>
    <w:rsid w:val="00E2461A"/>
    <w:rsid w:val="00E27978"/>
    <w:rsid w:val="00E36C78"/>
    <w:rsid w:val="00E409CB"/>
    <w:rsid w:val="00E64335"/>
    <w:rsid w:val="00E67C17"/>
    <w:rsid w:val="00E73CE0"/>
    <w:rsid w:val="00E94BD6"/>
    <w:rsid w:val="00E95A41"/>
    <w:rsid w:val="00EA1723"/>
    <w:rsid w:val="00EA478F"/>
    <w:rsid w:val="00EB080E"/>
    <w:rsid w:val="00EC0A11"/>
    <w:rsid w:val="00EC5274"/>
    <w:rsid w:val="00EF03C4"/>
    <w:rsid w:val="00F01FBE"/>
    <w:rsid w:val="00F0341B"/>
    <w:rsid w:val="00F33C4D"/>
    <w:rsid w:val="00F34FFE"/>
    <w:rsid w:val="00F35850"/>
    <w:rsid w:val="00F3721E"/>
    <w:rsid w:val="00F44169"/>
    <w:rsid w:val="00F46C8D"/>
    <w:rsid w:val="00F51EFC"/>
    <w:rsid w:val="00F55415"/>
    <w:rsid w:val="00F61DFA"/>
    <w:rsid w:val="00F76DBB"/>
    <w:rsid w:val="00F92A2A"/>
    <w:rsid w:val="00F93DB5"/>
    <w:rsid w:val="00FB7531"/>
    <w:rsid w:val="00FC0449"/>
    <w:rsid w:val="00FD7C70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EEE"/>
  <w15:chartTrackingRefBased/>
  <w15:docId w15:val="{F44A6EB1-8A36-3945-87CA-4A38BF0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C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463"/>
  </w:style>
  <w:style w:type="paragraph" w:styleId="Footer">
    <w:name w:val="footer"/>
    <w:basedOn w:val="Normal"/>
    <w:link w:val="Footer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463"/>
  </w:style>
  <w:style w:type="character" w:styleId="Hyperlink">
    <w:name w:val="Hyperlink"/>
    <w:basedOn w:val="DefaultParagraphFont"/>
    <w:uiPriority w:val="99"/>
    <w:unhideWhenUsed/>
    <w:rsid w:val="00214A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341B"/>
  </w:style>
  <w:style w:type="character" w:styleId="FollowedHyperlink">
    <w:name w:val="FollowedHyperlink"/>
    <w:basedOn w:val="DefaultParagraphFont"/>
    <w:uiPriority w:val="99"/>
    <w:semiHidden/>
    <w:unhideWhenUsed/>
    <w:rsid w:val="00D62EB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C0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C0A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62"/>
    <w:pPr>
      <w:spacing w:after="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6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67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0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025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75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452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1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147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12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137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552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730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382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169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34907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11329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644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99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7840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4748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0371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2407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9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919192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4164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9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359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989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531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96593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7755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0597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631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102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9089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637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111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634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4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5711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830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776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356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1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369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966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6800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743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468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7644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5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3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95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85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983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02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211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138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160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18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587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249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7726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1651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1407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6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833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44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3506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772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020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903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84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4594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243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405710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87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6380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460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3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82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8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314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11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9792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6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36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342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72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766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5408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60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8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62069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278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57502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141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600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58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430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20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06468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4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0486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446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82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2753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13448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603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58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87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63470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54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662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2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43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824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51865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640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77443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874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29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0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5371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556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9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092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97572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9548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9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49456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441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22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440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748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51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66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1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4434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753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44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9514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671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5045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5383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56567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179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0311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47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5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9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52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213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63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273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8935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39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115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853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476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0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77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53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9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789054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048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8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34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097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04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2049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886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55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983155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710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1642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7625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781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833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72333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5397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940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496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545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641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85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687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9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2826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619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73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75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777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862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0149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5189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9655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534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74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8765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018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151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173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660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79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97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8690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1793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825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5634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66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21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4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97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47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3174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486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7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883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17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402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57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279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142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106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79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5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942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2192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35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0576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21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83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33096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34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3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03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775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69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008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3594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265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837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81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884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347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1760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305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576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956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172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7127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6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871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047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58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781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1955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9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4196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87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3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636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22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44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05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120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5659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259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8081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16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47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354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34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695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8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0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6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586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41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294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01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640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3713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5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30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13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301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0785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3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8778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661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2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0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39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84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0453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630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7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305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65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77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797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327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008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41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9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41517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9737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07170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58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80416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953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2292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7690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5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074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139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40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6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512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057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432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797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506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73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84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01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728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12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56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07546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386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0727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185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926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386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330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61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241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92227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1305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7062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67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7333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820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1199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64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901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23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83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485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154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62024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70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9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10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838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2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6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orscope/posts/?feedView=a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rscope.e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r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rscop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2</cp:revision>
  <dcterms:created xsi:type="dcterms:W3CDTF">2025-11-20T12:20:00Z</dcterms:created>
  <dcterms:modified xsi:type="dcterms:W3CDTF">2025-11-20T12:20:00Z</dcterms:modified>
</cp:coreProperties>
</file>