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76041" w14:textId="77777777" w:rsidR="00C41D7C" w:rsidRDefault="00C41D7C" w:rsidP="00AF6054">
      <w:pPr>
        <w:jc w:val="center"/>
        <w:rPr>
          <w:rFonts w:ascii="Tahoma" w:eastAsia="Proxima Nova Rg" w:hAnsi="Tahoma" w:cs="Tahoma"/>
          <w:b/>
          <w:sz w:val="28"/>
          <w:szCs w:val="28"/>
        </w:rPr>
      </w:pPr>
    </w:p>
    <w:p w14:paraId="5850EB9F" w14:textId="62576F58" w:rsidR="00AF6054" w:rsidRDefault="00AF6054" w:rsidP="00AF6054">
      <w:pPr>
        <w:jc w:val="center"/>
        <w:rPr>
          <w:rFonts w:ascii="Tahoma" w:eastAsia="Proxima Nova Rg" w:hAnsi="Tahoma" w:cs="Tahoma"/>
          <w:b/>
          <w:sz w:val="28"/>
          <w:szCs w:val="28"/>
        </w:rPr>
      </w:pPr>
      <w:r>
        <w:rPr>
          <w:rFonts w:ascii="Tahoma" w:eastAsia="Proxima Nova Rg" w:hAnsi="Tahoma" w:cs="Tahoma"/>
          <w:b/>
          <w:sz w:val="28"/>
          <w:szCs w:val="28"/>
        </w:rPr>
        <w:t xml:space="preserve">Dopad amerických cel na sektor IT: </w:t>
      </w:r>
    </w:p>
    <w:p w14:paraId="1F77DE5B" w14:textId="0D4917CF" w:rsidR="00AF6054" w:rsidRPr="00AF6054" w:rsidRDefault="00AF6054" w:rsidP="00AF6054">
      <w:pPr>
        <w:jc w:val="center"/>
        <w:rPr>
          <w:rFonts w:ascii="Tahoma" w:eastAsia="Proxima Nova Rg" w:hAnsi="Tahoma" w:cs="Tahoma"/>
          <w:sz w:val="28"/>
          <w:szCs w:val="28"/>
        </w:rPr>
      </w:pPr>
      <w:r w:rsidRPr="00AF6054">
        <w:rPr>
          <w:rFonts w:ascii="Tahoma" w:eastAsia="Proxima Nova Rg" w:hAnsi="Tahoma" w:cs="Tahoma"/>
          <w:b/>
          <w:sz w:val="28"/>
          <w:szCs w:val="28"/>
        </w:rPr>
        <w:t>boj o softwarovou nezávislost</w:t>
      </w:r>
    </w:p>
    <w:p w14:paraId="37061111" w14:textId="77777777" w:rsidR="00AF6054" w:rsidRPr="00AF6054" w:rsidRDefault="00AF6054" w:rsidP="00AF6054">
      <w:pPr>
        <w:jc w:val="both"/>
        <w:rPr>
          <w:rFonts w:ascii="Tahoma" w:eastAsia="Proxima Nova Rg" w:hAnsi="Tahoma" w:cs="Tahoma"/>
        </w:rPr>
      </w:pPr>
    </w:p>
    <w:p w14:paraId="213D6764" w14:textId="3A90C851" w:rsidR="00EC5274" w:rsidRPr="00305075" w:rsidRDefault="00AF6054" w:rsidP="00C41D7C">
      <w:pPr>
        <w:rPr>
          <w:rFonts w:ascii="Tahoma" w:eastAsia="Proxima Nova Rg" w:hAnsi="Tahoma" w:cs="Tahoma"/>
          <w:b/>
          <w:sz w:val="22"/>
          <w:szCs w:val="22"/>
        </w:rPr>
      </w:pPr>
      <w:r w:rsidRPr="0060579E">
        <w:rPr>
          <w:rFonts w:ascii="Tahoma" w:eastAsia="Proxima Nova Rg" w:hAnsi="Tahoma" w:cs="Tahoma"/>
          <w:bCs/>
          <w:sz w:val="22"/>
          <w:szCs w:val="22"/>
        </w:rPr>
        <w:t xml:space="preserve">Praha, </w:t>
      </w:r>
      <w:r w:rsidR="00EC5274" w:rsidRPr="0060579E">
        <w:rPr>
          <w:rFonts w:ascii="Tahoma" w:eastAsia="Proxima Nova Rg" w:hAnsi="Tahoma" w:cs="Tahoma"/>
          <w:bCs/>
          <w:sz w:val="22"/>
          <w:szCs w:val="22"/>
        </w:rPr>
        <w:t>28</w:t>
      </w:r>
      <w:r w:rsidRPr="0060579E">
        <w:rPr>
          <w:rFonts w:ascii="Tahoma" w:eastAsia="Proxima Nova Rg" w:hAnsi="Tahoma" w:cs="Tahoma"/>
          <w:bCs/>
          <w:sz w:val="22"/>
          <w:szCs w:val="22"/>
        </w:rPr>
        <w:t xml:space="preserve">. dubna 2025 </w:t>
      </w:r>
      <w:r w:rsidR="00EC5274" w:rsidRPr="0060579E">
        <w:rPr>
          <w:rFonts w:ascii="Tahoma" w:eastAsia="Proxima Nova Rg" w:hAnsi="Tahoma" w:cs="Tahoma"/>
          <w:bCs/>
          <w:sz w:val="22"/>
          <w:szCs w:val="22"/>
        </w:rPr>
        <w:t>–</w:t>
      </w:r>
      <w:r w:rsidRPr="0060579E">
        <w:rPr>
          <w:rFonts w:ascii="Tahoma" w:eastAsia="Proxima Nova Rg" w:hAnsi="Tahoma" w:cs="Tahoma"/>
          <w:b/>
          <w:sz w:val="22"/>
          <w:szCs w:val="22"/>
        </w:rPr>
        <w:t xml:space="preserve"> </w:t>
      </w:r>
      <w:r w:rsidR="00EC5274" w:rsidRPr="0060579E">
        <w:rPr>
          <w:rFonts w:ascii="Tahoma" w:eastAsia="Proxima Nova Rg" w:hAnsi="Tahoma" w:cs="Tahoma"/>
          <w:b/>
          <w:sz w:val="22"/>
          <w:szCs w:val="22"/>
        </w:rPr>
        <w:t>Po návratu Donalda Trumpa na výsluní globální politiky se znovu otevřela diskuse o transatlantických clech, což přineslo novou nejistotu do mezinárodního obchodu</w:t>
      </w:r>
      <w:r w:rsidR="00EC5274" w:rsidRPr="00305075">
        <w:rPr>
          <w:rFonts w:ascii="Tahoma" w:eastAsia="Proxima Nova Rg" w:hAnsi="Tahoma" w:cs="Tahoma"/>
          <w:b/>
          <w:sz w:val="22"/>
          <w:szCs w:val="22"/>
        </w:rPr>
        <w:t>. Zatímco velká část médií se zaměřuje na tradiční sektory, jako je zemědělství nebo automobilový průmysl, dopady na jiná odvětví jsou často přehlíženy. Mezi tyto segmenty patří i IT sektor – konkrétně nepřímý dopad cel na modely licencování softwaru a jejich cenu.</w:t>
      </w:r>
    </w:p>
    <w:p w14:paraId="4BB428D1" w14:textId="77777777" w:rsidR="00EC5274" w:rsidRPr="00AF6054" w:rsidRDefault="00EC5274" w:rsidP="00C41D7C">
      <w:pPr>
        <w:rPr>
          <w:rFonts w:ascii="Tahoma" w:eastAsia="Proxima Nova Rg" w:hAnsi="Tahoma" w:cs="Tahoma"/>
          <w:sz w:val="22"/>
          <w:szCs w:val="22"/>
        </w:rPr>
      </w:pPr>
    </w:p>
    <w:p w14:paraId="598EAA53" w14:textId="0E0FD561" w:rsidR="00EC5274" w:rsidRPr="00305075" w:rsidRDefault="00EC5274" w:rsidP="00C41D7C">
      <w:pPr>
        <w:rPr>
          <w:rFonts w:ascii="Tahoma" w:eastAsia="Proxima Nova Rg" w:hAnsi="Tahoma" w:cs="Tahoma"/>
          <w:sz w:val="22"/>
          <w:szCs w:val="22"/>
        </w:rPr>
      </w:pPr>
      <w:r w:rsidRPr="00305075">
        <w:rPr>
          <w:rFonts w:ascii="Tahoma" w:eastAsia="Proxima Nova Rg" w:hAnsi="Tahoma" w:cs="Tahoma"/>
          <w:sz w:val="22"/>
          <w:szCs w:val="22"/>
        </w:rPr>
        <w:t xml:space="preserve">Cla navrhovaná Trumpem na evropský dovoz by mohla znovu otevřít debatu o softwarové autonomii. Budou-li taková opatření zavedena, hrozí zvýšení nákladů na softwarové licence a služby poskytované nebo spravované v EU. </w:t>
      </w:r>
      <w:r w:rsidR="0060579E" w:rsidRPr="0060579E">
        <w:rPr>
          <w:rFonts w:ascii="Tahoma" w:eastAsia="Proxima Nova Rg" w:hAnsi="Tahoma" w:cs="Tahoma"/>
          <w:i/>
          <w:iCs/>
          <w:sz w:val="22"/>
          <w:szCs w:val="22"/>
        </w:rPr>
        <w:t>„</w:t>
      </w:r>
      <w:r w:rsidRPr="0060579E">
        <w:rPr>
          <w:rFonts w:ascii="Tahoma" w:eastAsia="Proxima Nova Rg" w:hAnsi="Tahoma" w:cs="Tahoma"/>
          <w:i/>
          <w:iCs/>
          <w:sz w:val="22"/>
          <w:szCs w:val="22"/>
        </w:rPr>
        <w:t>Důsledky pro společnosti, které se spoléhají na centralizované cloudové předplatné, mohou být v případě nové cenové politiky nebo upravených licenčních podmínek významné. Zvláště pokud jsou tyto společnosti závislé na úzké skupině globálních poskytovatelů IT</w:t>
      </w:r>
      <w:r w:rsidR="0060579E" w:rsidRPr="0060579E">
        <w:rPr>
          <w:rFonts w:ascii="Tahoma" w:eastAsia="Proxima Nova Rg" w:hAnsi="Tahoma" w:cs="Tahoma"/>
          <w:i/>
          <w:iCs/>
          <w:sz w:val="22"/>
          <w:szCs w:val="22"/>
        </w:rPr>
        <w:t>,“</w:t>
      </w:r>
      <w:r w:rsidR="0060579E">
        <w:rPr>
          <w:rFonts w:ascii="Tahoma" w:eastAsia="Proxima Nova Rg" w:hAnsi="Tahoma" w:cs="Tahoma"/>
          <w:sz w:val="22"/>
          <w:szCs w:val="22"/>
        </w:rPr>
        <w:t xml:space="preserve"> </w:t>
      </w:r>
      <w:r w:rsidR="0060579E" w:rsidRPr="0060579E">
        <w:rPr>
          <w:rFonts w:ascii="Tahoma" w:eastAsia="Proxima Nova Rg" w:hAnsi="Tahoma" w:cs="Tahoma"/>
          <w:sz w:val="22"/>
          <w:szCs w:val="22"/>
        </w:rPr>
        <w:t xml:space="preserve">prozrazuje </w:t>
      </w:r>
      <w:r w:rsidR="0060579E" w:rsidRPr="0060579E">
        <w:rPr>
          <w:rFonts w:ascii="Tahoma" w:eastAsia="Proxima Nova Rg" w:hAnsi="Tahoma" w:cs="Tahoma"/>
          <w:b/>
          <w:bCs/>
          <w:sz w:val="22"/>
          <w:szCs w:val="22"/>
        </w:rPr>
        <w:t xml:space="preserve">Jakub Šulák, zakladatel a generální ředitel české společnosti </w:t>
      </w:r>
      <w:proofErr w:type="spellStart"/>
      <w:r w:rsidR="0060579E" w:rsidRPr="0060579E">
        <w:rPr>
          <w:rFonts w:ascii="Tahoma" w:eastAsia="Proxima Nova Rg" w:hAnsi="Tahoma" w:cs="Tahoma"/>
          <w:b/>
          <w:bCs/>
          <w:sz w:val="22"/>
          <w:szCs w:val="22"/>
        </w:rPr>
        <w:t>Forscope</w:t>
      </w:r>
      <w:proofErr w:type="spellEnd"/>
      <w:r w:rsidR="0060579E" w:rsidRPr="0060579E">
        <w:rPr>
          <w:rFonts w:ascii="Tahoma" w:eastAsia="Proxima Nova Rg" w:hAnsi="Tahoma" w:cs="Tahoma"/>
          <w:sz w:val="22"/>
          <w:szCs w:val="22"/>
        </w:rPr>
        <w:t>, která je největším brokerem druhotného softwaru ve střední a východní Evropě.</w:t>
      </w:r>
    </w:p>
    <w:p w14:paraId="5129082B" w14:textId="77777777" w:rsidR="00EC5274" w:rsidRPr="00E569F6" w:rsidRDefault="00EC5274" w:rsidP="00C41D7C">
      <w:pPr>
        <w:rPr>
          <w:rFonts w:ascii="Tahoma" w:eastAsia="Proxima Nova Rg" w:hAnsi="Tahoma" w:cs="Tahoma"/>
          <w:sz w:val="22"/>
          <w:szCs w:val="22"/>
        </w:rPr>
      </w:pPr>
    </w:p>
    <w:p w14:paraId="2E2B478B" w14:textId="68ED2009" w:rsidR="00EC5274" w:rsidRDefault="0060579E" w:rsidP="00C41D7C">
      <w:pPr>
        <w:rPr>
          <w:rFonts w:ascii="Tahoma" w:eastAsia="Proxima Nova Rg" w:hAnsi="Tahoma" w:cs="Tahoma"/>
          <w:sz w:val="22"/>
          <w:szCs w:val="22"/>
        </w:rPr>
      </w:pPr>
      <w:r>
        <w:rPr>
          <w:rFonts w:ascii="Tahoma" w:eastAsia="Proxima Nova Rg" w:hAnsi="Tahoma" w:cs="Tahoma"/>
          <w:sz w:val="22"/>
          <w:szCs w:val="22"/>
        </w:rPr>
        <w:t xml:space="preserve">A </w:t>
      </w:r>
      <w:r w:rsidR="00EC5274" w:rsidRPr="00305075">
        <w:rPr>
          <w:rFonts w:ascii="Tahoma" w:eastAsia="Proxima Nova Rg" w:hAnsi="Tahoma" w:cs="Tahoma"/>
          <w:sz w:val="22"/>
          <w:szCs w:val="22"/>
        </w:rPr>
        <w:t xml:space="preserve">nastává paradox: v éře, která podporuje digitální transformaci, je mnoho společností stále vázáno na licenční modely, které jsou neflexibilní, příliš závislé na amerických dodavatelích a zranitelné vůči politickým rozhodnutím. </w:t>
      </w:r>
      <w:r w:rsidRPr="0060579E">
        <w:rPr>
          <w:rFonts w:ascii="Tahoma" w:eastAsia="Proxima Nova Rg" w:hAnsi="Tahoma" w:cs="Tahoma"/>
          <w:i/>
          <w:iCs/>
          <w:sz w:val="22"/>
          <w:szCs w:val="22"/>
        </w:rPr>
        <w:t>„</w:t>
      </w:r>
      <w:r w:rsidR="00EC5274" w:rsidRPr="0060579E">
        <w:rPr>
          <w:rFonts w:ascii="Tahoma" w:eastAsia="Proxima Nova Rg" w:hAnsi="Tahoma" w:cs="Tahoma"/>
          <w:i/>
          <w:iCs/>
          <w:sz w:val="22"/>
          <w:szCs w:val="22"/>
        </w:rPr>
        <w:t>Vzhledem k tomu, že velcí hráči, jako je Microsoft, přecházejí výhradně na licencování s předplatným a postupně ukončují trvalé licence, zákazníkům zbývá méně kontroly i méně možností</w:t>
      </w:r>
      <w:r w:rsidRPr="0060579E">
        <w:rPr>
          <w:rFonts w:ascii="Tahoma" w:eastAsia="Proxima Nova Rg" w:hAnsi="Tahoma" w:cs="Tahoma"/>
          <w:i/>
          <w:iCs/>
          <w:sz w:val="22"/>
          <w:szCs w:val="22"/>
        </w:rPr>
        <w:t>,“</w:t>
      </w:r>
      <w:r>
        <w:rPr>
          <w:rFonts w:ascii="Tahoma" w:eastAsia="Proxima Nova Rg" w:hAnsi="Tahoma" w:cs="Tahoma"/>
          <w:sz w:val="22"/>
          <w:szCs w:val="22"/>
        </w:rPr>
        <w:t xml:space="preserve"> říká Jakub Šulák.</w:t>
      </w:r>
    </w:p>
    <w:p w14:paraId="4D6464E1" w14:textId="77777777" w:rsidR="00EC5274" w:rsidRDefault="00EC5274" w:rsidP="00C41D7C">
      <w:pPr>
        <w:rPr>
          <w:rFonts w:ascii="Tahoma" w:eastAsia="Proxima Nova Rg" w:hAnsi="Tahoma" w:cs="Tahoma"/>
          <w:sz w:val="22"/>
          <w:szCs w:val="22"/>
        </w:rPr>
      </w:pPr>
    </w:p>
    <w:p w14:paraId="1F7EED39" w14:textId="77777777" w:rsidR="00EC5274" w:rsidRPr="00AF6054" w:rsidRDefault="00EC5274" w:rsidP="00C41D7C">
      <w:pPr>
        <w:rPr>
          <w:rFonts w:ascii="Tahoma" w:eastAsia="Proxima Nova Rg" w:hAnsi="Tahoma" w:cs="Tahoma"/>
          <w:b/>
          <w:sz w:val="22"/>
          <w:szCs w:val="22"/>
        </w:rPr>
      </w:pPr>
      <w:r>
        <w:rPr>
          <w:rFonts w:ascii="Tahoma" w:eastAsia="Proxima Nova Rg" w:hAnsi="Tahoma" w:cs="Tahoma"/>
          <w:b/>
          <w:sz w:val="22"/>
          <w:szCs w:val="22"/>
        </w:rPr>
        <w:t xml:space="preserve">Krok k nezávislosti </w:t>
      </w:r>
    </w:p>
    <w:p w14:paraId="635F633F" w14:textId="77777777" w:rsidR="00EC5274" w:rsidRDefault="00EC5274" w:rsidP="00C41D7C">
      <w:pPr>
        <w:rPr>
          <w:rFonts w:ascii="Tahoma" w:eastAsia="Proxima Nova Rg" w:hAnsi="Tahoma" w:cs="Tahoma"/>
          <w:sz w:val="22"/>
          <w:szCs w:val="22"/>
        </w:rPr>
      </w:pPr>
      <w:r w:rsidRPr="00305075">
        <w:rPr>
          <w:rFonts w:ascii="Tahoma" w:eastAsia="Proxima Nova Rg" w:hAnsi="Tahoma" w:cs="Tahoma"/>
          <w:sz w:val="22"/>
          <w:szCs w:val="22"/>
        </w:rPr>
        <w:t xml:space="preserve">Zatímco se tyto debaty zintenzivňují, evropské společnosti již pociťují </w:t>
      </w:r>
      <w:r>
        <w:rPr>
          <w:rFonts w:ascii="Tahoma" w:eastAsia="Proxima Nova Rg" w:hAnsi="Tahoma" w:cs="Tahoma"/>
          <w:sz w:val="22"/>
          <w:szCs w:val="22"/>
        </w:rPr>
        <w:t>rozdíly</w:t>
      </w:r>
      <w:r w:rsidRPr="00305075">
        <w:rPr>
          <w:rFonts w:ascii="Tahoma" w:eastAsia="Proxima Nova Rg" w:hAnsi="Tahoma" w:cs="Tahoma"/>
          <w:sz w:val="22"/>
          <w:szCs w:val="22"/>
        </w:rPr>
        <w:t xml:space="preserve">. Není žádným tajemstvím, že nové softwarové produkty a licenční podmínky jsou v EU často dražší než v USA. </w:t>
      </w:r>
      <w:r>
        <w:rPr>
          <w:rFonts w:ascii="Tahoma" w:eastAsia="Proxima Nova Rg" w:hAnsi="Tahoma" w:cs="Tahoma"/>
          <w:sz w:val="22"/>
          <w:szCs w:val="22"/>
        </w:rPr>
        <w:t>Pokud by se k těmto zvýšeným nákladům ještě přidala</w:t>
      </w:r>
      <w:r w:rsidRPr="00305075">
        <w:rPr>
          <w:rFonts w:ascii="Tahoma" w:eastAsia="Proxima Nova Rg" w:hAnsi="Tahoma" w:cs="Tahoma"/>
          <w:sz w:val="22"/>
          <w:szCs w:val="22"/>
        </w:rPr>
        <w:t xml:space="preserve"> cl</w:t>
      </w:r>
      <w:r>
        <w:rPr>
          <w:rFonts w:ascii="Tahoma" w:eastAsia="Proxima Nova Rg" w:hAnsi="Tahoma" w:cs="Tahoma"/>
          <w:sz w:val="22"/>
          <w:szCs w:val="22"/>
        </w:rPr>
        <w:t xml:space="preserve">a, tak </w:t>
      </w:r>
      <w:r w:rsidRPr="00305075">
        <w:rPr>
          <w:rFonts w:ascii="Tahoma" w:eastAsia="Proxima Nova Rg" w:hAnsi="Tahoma" w:cs="Tahoma"/>
          <w:sz w:val="22"/>
          <w:szCs w:val="22"/>
        </w:rPr>
        <w:t>je jasné, že spoléhání se na velké americké prodejce vystavuje organizace značným finančním a provozním rizikům.</w:t>
      </w:r>
    </w:p>
    <w:p w14:paraId="5D6F42EC" w14:textId="77777777" w:rsidR="00EC5274" w:rsidRPr="00305075" w:rsidRDefault="00EC5274" w:rsidP="00C41D7C">
      <w:pPr>
        <w:rPr>
          <w:rFonts w:ascii="Tahoma" w:eastAsia="Proxima Nova Rg" w:hAnsi="Tahoma" w:cs="Tahoma"/>
          <w:sz w:val="22"/>
          <w:szCs w:val="22"/>
        </w:rPr>
      </w:pPr>
    </w:p>
    <w:p w14:paraId="10674C2D" w14:textId="1FB2240A" w:rsidR="00EC5274" w:rsidRPr="00305075" w:rsidRDefault="00EC5274" w:rsidP="00C41D7C">
      <w:pPr>
        <w:rPr>
          <w:rFonts w:ascii="Tahoma" w:eastAsia="Proxima Nova Rg" w:hAnsi="Tahoma" w:cs="Tahoma"/>
          <w:sz w:val="22"/>
          <w:szCs w:val="22"/>
        </w:rPr>
      </w:pPr>
      <w:r w:rsidRPr="00305075">
        <w:rPr>
          <w:rFonts w:ascii="Tahoma" w:eastAsia="Proxima Nova Rg" w:hAnsi="Tahoma" w:cs="Tahoma"/>
          <w:sz w:val="22"/>
          <w:szCs w:val="22"/>
        </w:rPr>
        <w:t xml:space="preserve">Evropská komise dlouhodobě prosazuje principy oběhového hospodářství jako cestu ke snížení závislosti, předcházení plýtvání a prodloužení životního cyklu produktů. </w:t>
      </w:r>
      <w:r w:rsidR="0060579E" w:rsidRPr="0060579E">
        <w:rPr>
          <w:rFonts w:ascii="Tahoma" w:eastAsia="Proxima Nova Rg" w:hAnsi="Tahoma" w:cs="Tahoma"/>
          <w:i/>
          <w:iCs/>
          <w:sz w:val="22"/>
          <w:szCs w:val="22"/>
        </w:rPr>
        <w:t>„</w:t>
      </w:r>
      <w:r w:rsidRPr="0060579E">
        <w:rPr>
          <w:rFonts w:ascii="Tahoma" w:eastAsia="Proxima Nova Rg" w:hAnsi="Tahoma" w:cs="Tahoma"/>
          <w:i/>
          <w:iCs/>
          <w:sz w:val="22"/>
          <w:szCs w:val="22"/>
        </w:rPr>
        <w:t>Tyto principy jsou stejně důležité i pro IT průmysl. Prodloužení životnosti softwarových produktů přehodnocením způsobu získávání, používání a likvidace licencí je nejen nákladově efektivní, ale také krokem k větší nezávislosti</w:t>
      </w:r>
      <w:r w:rsidR="0060579E" w:rsidRPr="0060579E">
        <w:rPr>
          <w:rFonts w:ascii="Tahoma" w:eastAsia="Proxima Nova Rg" w:hAnsi="Tahoma" w:cs="Tahoma"/>
          <w:i/>
          <w:iCs/>
          <w:sz w:val="22"/>
          <w:szCs w:val="22"/>
        </w:rPr>
        <w:t xml:space="preserve">,“ </w:t>
      </w:r>
      <w:r w:rsidR="0060579E">
        <w:rPr>
          <w:rFonts w:ascii="Tahoma" w:eastAsia="Proxima Nova Rg" w:hAnsi="Tahoma" w:cs="Tahoma"/>
          <w:sz w:val="22"/>
          <w:szCs w:val="22"/>
        </w:rPr>
        <w:t>zdůrazňuje Jakub Šulák.</w:t>
      </w:r>
    </w:p>
    <w:p w14:paraId="65E21829" w14:textId="77777777" w:rsidR="00EC5274" w:rsidRPr="00AF6054" w:rsidRDefault="00EC5274" w:rsidP="00C41D7C">
      <w:pPr>
        <w:rPr>
          <w:rFonts w:ascii="Tahoma" w:eastAsia="Proxima Nova Rg" w:hAnsi="Tahoma" w:cs="Tahoma"/>
          <w:sz w:val="22"/>
          <w:szCs w:val="22"/>
        </w:rPr>
      </w:pPr>
    </w:p>
    <w:p w14:paraId="2DC5D77B" w14:textId="77777777" w:rsidR="00EC5274" w:rsidRPr="00AF6054" w:rsidRDefault="00EC5274" w:rsidP="00C41D7C">
      <w:pPr>
        <w:rPr>
          <w:rFonts w:ascii="Tahoma" w:eastAsia="Proxima Nova Rg" w:hAnsi="Tahoma" w:cs="Tahoma"/>
          <w:b/>
          <w:sz w:val="22"/>
          <w:szCs w:val="22"/>
        </w:rPr>
      </w:pPr>
      <w:r>
        <w:rPr>
          <w:rFonts w:ascii="Tahoma" w:eastAsia="Proxima Nova Rg" w:hAnsi="Tahoma" w:cs="Tahoma"/>
          <w:b/>
          <w:sz w:val="22"/>
          <w:szCs w:val="22"/>
        </w:rPr>
        <w:t>Jak předejít problémům?</w:t>
      </w:r>
    </w:p>
    <w:p w14:paraId="19E84375" w14:textId="1B60CC47" w:rsidR="00EC5274" w:rsidRPr="00305075" w:rsidRDefault="00EC5274" w:rsidP="00C41D7C">
      <w:pPr>
        <w:rPr>
          <w:rFonts w:ascii="Tahoma" w:eastAsia="Proxima Nova Rg" w:hAnsi="Tahoma" w:cs="Tahoma"/>
          <w:sz w:val="22"/>
          <w:szCs w:val="22"/>
        </w:rPr>
      </w:pPr>
      <w:r w:rsidRPr="00305075">
        <w:rPr>
          <w:rFonts w:ascii="Tahoma" w:eastAsia="Proxima Nova Rg" w:hAnsi="Tahoma" w:cs="Tahoma"/>
          <w:sz w:val="22"/>
          <w:szCs w:val="22"/>
        </w:rPr>
        <w:t xml:space="preserve">V této souvislosti musí společnosti a veřejné instituce posoudit svou míru rizika a určit, zda jsou jejich současná softwarová aktiva zranitelná </w:t>
      </w:r>
      <w:r w:rsidR="0060579E">
        <w:rPr>
          <w:rFonts w:ascii="Tahoma" w:eastAsia="Proxima Nova Rg" w:hAnsi="Tahoma" w:cs="Tahoma"/>
          <w:sz w:val="22"/>
          <w:szCs w:val="22"/>
        </w:rPr>
        <w:t>v souvislosti s</w:t>
      </w:r>
      <w:r w:rsidRPr="00305075">
        <w:rPr>
          <w:rFonts w:ascii="Tahoma" w:eastAsia="Proxima Nova Rg" w:hAnsi="Tahoma" w:cs="Tahoma"/>
          <w:sz w:val="22"/>
          <w:szCs w:val="22"/>
        </w:rPr>
        <w:t xml:space="preserve"> budoucím</w:t>
      </w:r>
      <w:r w:rsidR="0060579E">
        <w:rPr>
          <w:rFonts w:ascii="Tahoma" w:eastAsia="Proxima Nova Rg" w:hAnsi="Tahoma" w:cs="Tahoma"/>
          <w:sz w:val="22"/>
          <w:szCs w:val="22"/>
        </w:rPr>
        <w:t>i</w:t>
      </w:r>
      <w:r w:rsidRPr="00305075">
        <w:rPr>
          <w:rFonts w:ascii="Tahoma" w:eastAsia="Proxima Nova Rg" w:hAnsi="Tahoma" w:cs="Tahoma"/>
          <w:sz w:val="22"/>
          <w:szCs w:val="22"/>
        </w:rPr>
        <w:t xml:space="preserve"> politickým</w:t>
      </w:r>
      <w:r w:rsidR="0060579E">
        <w:rPr>
          <w:rFonts w:ascii="Tahoma" w:eastAsia="Proxima Nova Rg" w:hAnsi="Tahoma" w:cs="Tahoma"/>
          <w:sz w:val="22"/>
          <w:szCs w:val="22"/>
        </w:rPr>
        <w:t>i</w:t>
      </w:r>
      <w:r w:rsidRPr="00305075">
        <w:rPr>
          <w:rFonts w:ascii="Tahoma" w:eastAsia="Proxima Nova Rg" w:hAnsi="Tahoma" w:cs="Tahoma"/>
          <w:sz w:val="22"/>
          <w:szCs w:val="22"/>
        </w:rPr>
        <w:t xml:space="preserve"> nebo ekonomickým</w:t>
      </w:r>
      <w:r w:rsidR="0060579E">
        <w:rPr>
          <w:rFonts w:ascii="Tahoma" w:eastAsia="Proxima Nova Rg" w:hAnsi="Tahoma" w:cs="Tahoma"/>
          <w:sz w:val="22"/>
          <w:szCs w:val="22"/>
        </w:rPr>
        <w:t>i</w:t>
      </w:r>
      <w:r w:rsidRPr="00305075">
        <w:rPr>
          <w:rFonts w:ascii="Tahoma" w:eastAsia="Proxima Nova Rg" w:hAnsi="Tahoma" w:cs="Tahoma"/>
          <w:sz w:val="22"/>
          <w:szCs w:val="22"/>
        </w:rPr>
        <w:t xml:space="preserve"> změn</w:t>
      </w:r>
      <w:r w:rsidR="0060579E">
        <w:rPr>
          <w:rFonts w:ascii="Tahoma" w:eastAsia="Proxima Nova Rg" w:hAnsi="Tahoma" w:cs="Tahoma"/>
          <w:sz w:val="22"/>
          <w:szCs w:val="22"/>
        </w:rPr>
        <w:t>ami</w:t>
      </w:r>
      <w:r w:rsidRPr="00305075">
        <w:rPr>
          <w:rFonts w:ascii="Tahoma" w:eastAsia="Proxima Nova Rg" w:hAnsi="Tahoma" w:cs="Tahoma"/>
          <w:sz w:val="22"/>
          <w:szCs w:val="22"/>
        </w:rPr>
        <w:t>.</w:t>
      </w:r>
    </w:p>
    <w:p w14:paraId="7E7094B3" w14:textId="77777777" w:rsidR="00EC5274" w:rsidRDefault="00EC5274" w:rsidP="00C41D7C">
      <w:pPr>
        <w:rPr>
          <w:rFonts w:ascii="Tahoma" w:eastAsia="Proxima Nova Rg" w:hAnsi="Tahoma" w:cs="Tahoma"/>
          <w:sz w:val="22"/>
          <w:szCs w:val="22"/>
        </w:rPr>
      </w:pPr>
    </w:p>
    <w:p w14:paraId="400595E2" w14:textId="23CED610" w:rsidR="00EC5274" w:rsidRPr="0060579E" w:rsidRDefault="00EC5274" w:rsidP="00C41D7C">
      <w:pPr>
        <w:rPr>
          <w:rFonts w:ascii="Tahoma" w:eastAsia="Proxima Nova Rg" w:hAnsi="Tahoma" w:cs="Tahoma"/>
          <w:i/>
          <w:iCs/>
          <w:sz w:val="22"/>
          <w:szCs w:val="22"/>
        </w:rPr>
      </w:pPr>
      <w:r w:rsidRPr="00B639A0">
        <w:rPr>
          <w:rFonts w:ascii="Tahoma" w:eastAsia="Proxima Nova Rg" w:hAnsi="Tahoma" w:cs="Tahoma"/>
          <w:sz w:val="22"/>
          <w:szCs w:val="22"/>
        </w:rPr>
        <w:t xml:space="preserve">Zde se spolupráce s odborníky na licencování stává nejen užitečná, ale i nezbytná. </w:t>
      </w:r>
      <w:r w:rsidR="0060579E" w:rsidRPr="0060579E">
        <w:rPr>
          <w:rFonts w:ascii="Tahoma" w:eastAsia="Proxima Nova Rg" w:hAnsi="Tahoma" w:cs="Tahoma"/>
          <w:i/>
          <w:iCs/>
          <w:sz w:val="22"/>
          <w:szCs w:val="22"/>
        </w:rPr>
        <w:t>„</w:t>
      </w:r>
      <w:r w:rsidRPr="0060579E">
        <w:rPr>
          <w:rFonts w:ascii="Tahoma" w:eastAsia="Proxima Nova Rg" w:hAnsi="Tahoma" w:cs="Tahoma"/>
          <w:i/>
          <w:iCs/>
          <w:sz w:val="22"/>
          <w:szCs w:val="22"/>
        </w:rPr>
        <w:t xml:space="preserve">Společnost, jako je například </w:t>
      </w:r>
      <w:proofErr w:type="spellStart"/>
      <w:r w:rsidRPr="0060579E">
        <w:rPr>
          <w:rFonts w:ascii="Tahoma" w:eastAsia="Proxima Nova Rg" w:hAnsi="Tahoma" w:cs="Tahoma"/>
          <w:i/>
          <w:iCs/>
          <w:sz w:val="22"/>
          <w:szCs w:val="22"/>
        </w:rPr>
        <w:t>Forscope</w:t>
      </w:r>
      <w:proofErr w:type="spellEnd"/>
      <w:r w:rsidRPr="0060579E">
        <w:rPr>
          <w:rFonts w:ascii="Tahoma" w:eastAsia="Proxima Nova Rg" w:hAnsi="Tahoma" w:cs="Tahoma"/>
          <w:i/>
          <w:iCs/>
          <w:sz w:val="22"/>
          <w:szCs w:val="22"/>
        </w:rPr>
        <w:t>, může organizacím pomoci zmapovat jejich licenční portfolio a určit, zda jsou vystaveny vyšším nákladům v důsledku měnících se obchodních politik nebo strategií prodejců</w:t>
      </w:r>
      <w:r w:rsidR="0060579E" w:rsidRPr="0060579E">
        <w:rPr>
          <w:rFonts w:ascii="Tahoma" w:eastAsia="Proxima Nova Rg" w:hAnsi="Tahoma" w:cs="Tahoma"/>
          <w:i/>
          <w:iCs/>
          <w:sz w:val="22"/>
          <w:szCs w:val="22"/>
        </w:rPr>
        <w:t>,“</w:t>
      </w:r>
      <w:r w:rsidR="0060579E">
        <w:rPr>
          <w:rFonts w:ascii="Tahoma" w:eastAsia="Proxima Nova Rg" w:hAnsi="Tahoma" w:cs="Tahoma"/>
          <w:sz w:val="22"/>
          <w:szCs w:val="22"/>
        </w:rPr>
        <w:t xml:space="preserve"> </w:t>
      </w:r>
      <w:r w:rsidR="0060579E" w:rsidRPr="0060579E">
        <w:rPr>
          <w:rFonts w:ascii="Tahoma" w:eastAsia="Proxima Nova Rg" w:hAnsi="Tahoma" w:cs="Tahoma"/>
          <w:sz w:val="22"/>
          <w:szCs w:val="22"/>
        </w:rPr>
        <w:t>prozrazuje Jakub Šulák a dodává:</w:t>
      </w:r>
      <w:r w:rsidR="0060579E">
        <w:rPr>
          <w:rFonts w:ascii="Tahoma" w:eastAsia="Proxima Nova Rg" w:hAnsi="Tahoma" w:cs="Tahoma"/>
          <w:sz w:val="22"/>
          <w:szCs w:val="22"/>
        </w:rPr>
        <w:t xml:space="preserve"> </w:t>
      </w:r>
      <w:r w:rsidR="0060579E" w:rsidRPr="0060579E">
        <w:rPr>
          <w:rFonts w:ascii="Tahoma" w:eastAsia="Proxima Nova Rg" w:hAnsi="Tahoma" w:cs="Tahoma"/>
          <w:i/>
          <w:iCs/>
          <w:sz w:val="22"/>
          <w:szCs w:val="22"/>
        </w:rPr>
        <w:t>„</w:t>
      </w:r>
      <w:r w:rsidRPr="0060579E">
        <w:rPr>
          <w:rFonts w:ascii="Tahoma" w:eastAsia="Proxima Nova Rg" w:hAnsi="Tahoma" w:cs="Tahoma"/>
          <w:i/>
          <w:iCs/>
          <w:sz w:val="22"/>
          <w:szCs w:val="22"/>
        </w:rPr>
        <w:t>Díky konzultaci s licenčními odborníky zjistí, na které licence lze spoléhat i do budoucna – které lze udržovat nebo škálovat,</w:t>
      </w:r>
      <w:r w:rsidR="00C41D7C">
        <w:rPr>
          <w:rFonts w:ascii="Tahoma" w:eastAsia="Proxima Nova Rg" w:hAnsi="Tahoma" w:cs="Tahoma"/>
          <w:i/>
          <w:iCs/>
          <w:sz w:val="22"/>
          <w:szCs w:val="22"/>
        </w:rPr>
        <w:t xml:space="preserve"> </w:t>
      </w:r>
      <w:r w:rsidRPr="0060579E">
        <w:rPr>
          <w:rFonts w:ascii="Tahoma" w:eastAsia="Proxima Nova Rg" w:hAnsi="Tahoma" w:cs="Tahoma"/>
          <w:i/>
          <w:iCs/>
          <w:sz w:val="22"/>
          <w:szCs w:val="22"/>
        </w:rPr>
        <w:t>aniž by vyvolávaly zbytečné upgrady nebo byly vystaveny novým cenovým politikám. A – což je zásadní – jaké licenční strategie ochrání organizaci před náklady souvisejícími se cly</w:t>
      </w:r>
      <w:r w:rsidR="0060579E" w:rsidRPr="0060579E">
        <w:rPr>
          <w:rFonts w:ascii="Tahoma" w:eastAsia="Proxima Nova Rg" w:hAnsi="Tahoma" w:cs="Tahoma"/>
          <w:i/>
          <w:iCs/>
          <w:sz w:val="22"/>
          <w:szCs w:val="22"/>
        </w:rPr>
        <w:t xml:space="preserve">.“ </w:t>
      </w:r>
    </w:p>
    <w:p w14:paraId="3153C682" w14:textId="77777777" w:rsidR="00EC5274" w:rsidRPr="00877091" w:rsidRDefault="00EC5274" w:rsidP="00C41D7C">
      <w:pPr>
        <w:rPr>
          <w:rFonts w:ascii="Tahoma" w:eastAsia="Proxima Nova Rg" w:hAnsi="Tahoma" w:cs="Tahoma"/>
          <w:i/>
          <w:iCs/>
          <w:sz w:val="22"/>
          <w:szCs w:val="22"/>
        </w:rPr>
      </w:pPr>
    </w:p>
    <w:p w14:paraId="2D654D3D" w14:textId="77777777" w:rsidR="00C41D7C" w:rsidRDefault="00C41D7C" w:rsidP="00C41D7C">
      <w:pPr>
        <w:rPr>
          <w:rFonts w:ascii="Tahoma" w:eastAsia="Proxima Nova Rg" w:hAnsi="Tahoma" w:cs="Tahoma"/>
          <w:sz w:val="22"/>
          <w:szCs w:val="22"/>
        </w:rPr>
      </w:pPr>
    </w:p>
    <w:p w14:paraId="10F90DFF" w14:textId="689A2F17" w:rsidR="00EC5274" w:rsidRPr="00B639A0" w:rsidRDefault="00EC5274" w:rsidP="00C41D7C">
      <w:pPr>
        <w:rPr>
          <w:rFonts w:ascii="Tahoma" w:eastAsia="Proxima Nova Rg" w:hAnsi="Tahoma" w:cs="Tahoma"/>
          <w:sz w:val="22"/>
          <w:szCs w:val="22"/>
        </w:rPr>
      </w:pPr>
      <w:r w:rsidRPr="00B639A0">
        <w:rPr>
          <w:rFonts w:ascii="Tahoma" w:eastAsia="Proxima Nova Rg" w:hAnsi="Tahoma" w:cs="Tahoma"/>
          <w:sz w:val="22"/>
          <w:szCs w:val="22"/>
        </w:rPr>
        <w:t xml:space="preserve">Vzhledem k tomu, že se politické klima neustále mění, roste i potřeba, aby firmy i instituce převzaly kontrolu nad svým softwarovým prostředím. </w:t>
      </w:r>
      <w:r w:rsidR="0060579E" w:rsidRPr="0060579E">
        <w:rPr>
          <w:rFonts w:ascii="Tahoma" w:eastAsia="Proxima Nova Rg" w:hAnsi="Tahoma" w:cs="Tahoma"/>
          <w:i/>
          <w:iCs/>
          <w:sz w:val="22"/>
          <w:szCs w:val="22"/>
        </w:rPr>
        <w:t xml:space="preserve">„Cla nepředstavují </w:t>
      </w:r>
      <w:r w:rsidRPr="0060579E">
        <w:rPr>
          <w:rFonts w:ascii="Tahoma" w:eastAsia="Proxima Nova Rg" w:hAnsi="Tahoma" w:cs="Tahoma"/>
          <w:i/>
          <w:iCs/>
          <w:sz w:val="22"/>
          <w:szCs w:val="22"/>
        </w:rPr>
        <w:t xml:space="preserve">jen hrozbu – </w:t>
      </w:r>
      <w:r w:rsidR="0060579E" w:rsidRPr="0060579E">
        <w:rPr>
          <w:rFonts w:ascii="Tahoma" w:eastAsia="Proxima Nova Rg" w:hAnsi="Tahoma" w:cs="Tahoma"/>
          <w:i/>
          <w:iCs/>
          <w:sz w:val="22"/>
          <w:szCs w:val="22"/>
        </w:rPr>
        <w:t xml:space="preserve">lze je vnímat i jako </w:t>
      </w:r>
      <w:r w:rsidRPr="0060579E">
        <w:rPr>
          <w:rFonts w:ascii="Tahoma" w:eastAsia="Proxima Nova Rg" w:hAnsi="Tahoma" w:cs="Tahoma"/>
          <w:i/>
          <w:iCs/>
          <w:sz w:val="22"/>
          <w:szCs w:val="22"/>
        </w:rPr>
        <w:t>příležitost směřovat ke skutečné digitální suverenitě</w:t>
      </w:r>
      <w:r w:rsidR="0060579E" w:rsidRPr="0060579E">
        <w:rPr>
          <w:rFonts w:ascii="Tahoma" w:eastAsia="Proxima Nova Rg" w:hAnsi="Tahoma" w:cs="Tahoma"/>
          <w:i/>
          <w:iCs/>
          <w:sz w:val="22"/>
          <w:szCs w:val="22"/>
        </w:rPr>
        <w:t>,“</w:t>
      </w:r>
      <w:r w:rsidR="0060579E">
        <w:rPr>
          <w:rFonts w:ascii="Tahoma" w:eastAsia="Proxima Nova Rg" w:hAnsi="Tahoma" w:cs="Tahoma"/>
          <w:sz w:val="22"/>
          <w:szCs w:val="22"/>
        </w:rPr>
        <w:t xml:space="preserve"> uzavírá Jakub Šulák.</w:t>
      </w:r>
    </w:p>
    <w:p w14:paraId="7664A47D" w14:textId="77777777" w:rsidR="00203465" w:rsidRDefault="00203465" w:rsidP="00C41D7C">
      <w:pPr>
        <w:rPr>
          <w:rFonts w:ascii="Tahoma" w:hAnsi="Tahoma" w:cs="Tahoma"/>
          <w:sz w:val="22"/>
          <w:szCs w:val="22"/>
        </w:rPr>
      </w:pPr>
    </w:p>
    <w:p w14:paraId="754A402A" w14:textId="77777777" w:rsidR="0060579E" w:rsidRDefault="0060579E" w:rsidP="00C41D7C">
      <w:pPr>
        <w:rPr>
          <w:rFonts w:ascii="Tahoma" w:hAnsi="Tahoma" w:cs="Tahoma"/>
          <w:sz w:val="22"/>
          <w:szCs w:val="22"/>
        </w:rPr>
      </w:pPr>
    </w:p>
    <w:p w14:paraId="474DE537" w14:textId="77777777" w:rsidR="00203465" w:rsidRDefault="00203465" w:rsidP="004F0463">
      <w:pPr>
        <w:jc w:val="both"/>
        <w:rPr>
          <w:rFonts w:ascii="Tahoma" w:eastAsia="Times New Roman" w:hAnsi="Tahoma" w:cs="Tahoma"/>
          <w:b/>
          <w:bCs/>
          <w:color w:val="000000"/>
          <w:sz w:val="21"/>
          <w:szCs w:val="21"/>
          <w:u w:val="single"/>
          <w:lang w:eastAsia="en-GB"/>
        </w:rPr>
      </w:pPr>
    </w:p>
    <w:p w14:paraId="1831D771" w14:textId="78026001" w:rsidR="004F0463" w:rsidRPr="00D97495" w:rsidRDefault="00DE0C38" w:rsidP="004F0463">
      <w:pPr>
        <w:jc w:val="both"/>
        <w:rPr>
          <w:rFonts w:ascii="Tahoma" w:eastAsia="Times New Roman" w:hAnsi="Tahoma" w:cs="Tahoma"/>
          <w:sz w:val="20"/>
          <w:szCs w:val="20"/>
          <w:lang w:eastAsia="en-GB"/>
        </w:rPr>
      </w:pPr>
      <w:r w:rsidRPr="00D97495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  <w:t>O</w:t>
      </w:r>
      <w:r w:rsidR="004F0463" w:rsidRPr="00D97495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  <w:t xml:space="preserve"> </w:t>
      </w:r>
      <w:proofErr w:type="spellStart"/>
      <w:r w:rsidR="004F0463" w:rsidRPr="00D97495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  <w:t>Forscope</w:t>
      </w:r>
      <w:proofErr w:type="spellEnd"/>
    </w:p>
    <w:p w14:paraId="6AED4333" w14:textId="220A97F8" w:rsidR="004A2A87" w:rsidRPr="00D97495" w:rsidRDefault="00DE0C38" w:rsidP="00DE0C38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proofErr w:type="spellStart"/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Forscope</w:t>
      </w:r>
      <w:proofErr w:type="spellEnd"/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, největší softwarový broker ve střední a východní Evropě, nabízí plně licencovaná softwarová řešení prostřednictvím inovativního, nákladově efektivního modelu akvizice společnostem všech velikostí i veřejným institucím. Kromě toho </w:t>
      </w:r>
      <w:r w:rsidR="00763E36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firma</w:t>
      </w:r>
      <w:r w:rsidR="00763E36"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</w:t>
      </w: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dodává komplexní balíček služeb včetně technické podpory, licenčního a právního poradenství. </w:t>
      </w:r>
      <w:proofErr w:type="spellStart"/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Forscope</w:t>
      </w:r>
      <w:proofErr w:type="spellEnd"/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se sídlem v České republice působí v dalších </w:t>
      </w:r>
      <w:r w:rsidR="00763E36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devíti</w:t>
      </w:r>
      <w:r w:rsidR="00763E36"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</w:t>
      </w: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zemích střední a východní Evropy. </w:t>
      </w:r>
      <w:r w:rsidR="00763E36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Je</w:t>
      </w: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certifikovaným partnerem společnosti Microsoft a je držitelem certifikací ISO 9001:2015 a ISO 27001.</w:t>
      </w:r>
    </w:p>
    <w:p w14:paraId="540E78D0" w14:textId="77777777" w:rsidR="00D97495" w:rsidRDefault="00D97495" w:rsidP="00F35850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14:paraId="61C8AD75" w14:textId="0B74C3D0" w:rsidR="00582C0D" w:rsidRPr="00D97495" w:rsidRDefault="006E7A6A" w:rsidP="00F35850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Pro více informací navštivte</w:t>
      </w:r>
      <w:r w:rsidR="00582C0D"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: </w:t>
      </w:r>
      <w:hyperlink r:id="rId7" w:history="1">
        <w:proofErr w:type="gramStart"/>
        <w:r w:rsidRPr="00D97495">
          <w:rPr>
            <w:rStyle w:val="Hyperlink"/>
            <w:rFonts w:ascii="Tahoma" w:eastAsia="Times New Roman" w:hAnsi="Tahoma" w:cs="Tahoma"/>
            <w:sz w:val="20"/>
            <w:szCs w:val="20"/>
            <w:lang w:eastAsia="en-GB"/>
          </w:rPr>
          <w:t>Web</w:t>
        </w:r>
        <w:proofErr w:type="gramEnd"/>
      </w:hyperlink>
      <w:r w:rsidR="00582C0D"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| </w:t>
      </w:r>
      <w:hyperlink r:id="rId8" w:history="1">
        <w:r w:rsidR="00582C0D" w:rsidRPr="00D97495">
          <w:rPr>
            <w:rStyle w:val="Hyperlink"/>
            <w:rFonts w:ascii="Tahoma" w:eastAsia="Times New Roman" w:hAnsi="Tahoma" w:cs="Tahoma"/>
            <w:sz w:val="20"/>
            <w:szCs w:val="20"/>
            <w:lang w:eastAsia="en-GB"/>
          </w:rPr>
          <w:t>LinkedIn</w:t>
        </w:r>
      </w:hyperlink>
      <w:r w:rsidR="00582C0D"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| </w:t>
      </w:r>
      <w:hyperlink r:id="rId9" w:history="1">
        <w:r w:rsidR="00582C0D" w:rsidRPr="00D97495">
          <w:rPr>
            <w:rStyle w:val="Hyperlink"/>
            <w:rFonts w:ascii="Tahoma" w:eastAsia="Times New Roman" w:hAnsi="Tahoma" w:cs="Tahoma"/>
            <w:sz w:val="20"/>
            <w:szCs w:val="20"/>
            <w:lang w:eastAsia="en-GB"/>
          </w:rPr>
          <w:t>Faceboo</w:t>
        </w:r>
        <w:r w:rsidRPr="00D97495">
          <w:rPr>
            <w:rStyle w:val="Hyperlink"/>
            <w:rFonts w:ascii="Tahoma" w:hAnsi="Tahoma" w:cs="Tahoma"/>
            <w:sz w:val="20"/>
            <w:szCs w:val="20"/>
          </w:rPr>
          <w:t>k</w:t>
        </w:r>
      </w:hyperlink>
    </w:p>
    <w:p w14:paraId="7FE620F3" w14:textId="77777777" w:rsidR="00F92A2A" w:rsidRPr="00D97495" w:rsidRDefault="00F92A2A" w:rsidP="008B7F29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14:paraId="2D7EE19E" w14:textId="41300241" w:rsidR="004F0463" w:rsidRDefault="006E7A6A" w:rsidP="008B7F29">
      <w:pPr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</w:pPr>
      <w:r w:rsidRPr="00D97495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  <w:t>Kontakt pro média</w:t>
      </w:r>
    </w:p>
    <w:p w14:paraId="6FCCB4D3" w14:textId="77777777" w:rsidR="00537FBD" w:rsidRPr="00D97495" w:rsidRDefault="00537FBD" w:rsidP="008B7F29">
      <w:pPr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</w:pPr>
    </w:p>
    <w:p w14:paraId="2E629118" w14:textId="11D272FF" w:rsidR="006E7A6A" w:rsidRPr="00D97495" w:rsidRDefault="006E7A6A" w:rsidP="008B7F29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Petra Losertová / Phoenix </w:t>
      </w:r>
      <w:proofErr w:type="spellStart"/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Communication</w:t>
      </w:r>
      <w:proofErr w:type="spellEnd"/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, a.s.</w:t>
      </w:r>
    </w:p>
    <w:p w14:paraId="3B916896" w14:textId="75F3A70E" w:rsidR="006E7A6A" w:rsidRDefault="006E7A6A" w:rsidP="008B7F29">
      <w:pPr>
        <w:jc w:val="both"/>
      </w:pP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E-mail: </w:t>
      </w:r>
      <w:hyperlink r:id="rId10" w:history="1">
        <w:r w:rsidRPr="00D97495">
          <w:rPr>
            <w:rStyle w:val="Hyperlink"/>
            <w:rFonts w:ascii="Tahoma" w:eastAsia="Times New Roman" w:hAnsi="Tahoma" w:cs="Tahoma"/>
            <w:sz w:val="20"/>
            <w:szCs w:val="20"/>
            <w:u w:val="none"/>
            <w:lang w:eastAsia="en-GB"/>
          </w:rPr>
          <w:t>petra@phoenixcom.cz</w:t>
        </w:r>
      </w:hyperlink>
    </w:p>
    <w:p w14:paraId="5F85F102" w14:textId="35E5250C" w:rsidR="00E27978" w:rsidRPr="006E7A6A" w:rsidRDefault="00494368" w:rsidP="002C6A89">
      <w:pPr>
        <w:jc w:val="both"/>
        <w:rPr>
          <w:sz w:val="22"/>
          <w:szCs w:val="22"/>
        </w:rPr>
      </w:pP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Tel: +420 728 162</w:t>
      </w:r>
      <w:r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 </w:t>
      </w: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140</w:t>
      </w:r>
    </w:p>
    <w:sectPr w:rsidR="00E27978" w:rsidRPr="006E7A6A" w:rsidSect="00C41D7C">
      <w:headerReference w:type="default" r:id="rId11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4EEC0" w14:textId="77777777" w:rsidR="005B4AD9" w:rsidRDefault="005B4AD9" w:rsidP="004F0463">
      <w:r>
        <w:separator/>
      </w:r>
    </w:p>
  </w:endnote>
  <w:endnote w:type="continuationSeparator" w:id="0">
    <w:p w14:paraId="7858DFBD" w14:textId="77777777" w:rsidR="005B4AD9" w:rsidRDefault="005B4AD9" w:rsidP="004F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4F016" w14:textId="77777777" w:rsidR="005B4AD9" w:rsidRDefault="005B4AD9" w:rsidP="004F0463">
      <w:r>
        <w:separator/>
      </w:r>
    </w:p>
  </w:footnote>
  <w:footnote w:type="continuationSeparator" w:id="0">
    <w:p w14:paraId="62CEF520" w14:textId="77777777" w:rsidR="005B4AD9" w:rsidRDefault="005B4AD9" w:rsidP="004F0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247D" w14:textId="582AE371" w:rsidR="004F0463" w:rsidRDefault="0039419B" w:rsidP="004F0463">
    <w:pPr>
      <w:pStyle w:val="Header"/>
      <w:jc w:val="center"/>
    </w:pPr>
    <w:r>
      <w:rPr>
        <w:noProof/>
      </w:rPr>
      <w:drawing>
        <wp:inline distT="0" distB="0" distL="0" distR="0" wp14:anchorId="00644A29" wp14:editId="67304CB7">
          <wp:extent cx="1701478" cy="850739"/>
          <wp:effectExtent l="0" t="0" r="635" b="635"/>
          <wp:docPr id="914720641" name="Picture 2" descr="A black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998173" name="Picture 2" descr="A black and orang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619" cy="896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B4D36"/>
    <w:multiLevelType w:val="hybridMultilevel"/>
    <w:tmpl w:val="0A744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11471"/>
    <w:multiLevelType w:val="hybridMultilevel"/>
    <w:tmpl w:val="E2BCC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D7723"/>
    <w:multiLevelType w:val="hybridMultilevel"/>
    <w:tmpl w:val="C3841A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24149"/>
    <w:multiLevelType w:val="hybridMultilevel"/>
    <w:tmpl w:val="B8D2C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D5D06"/>
    <w:multiLevelType w:val="hybridMultilevel"/>
    <w:tmpl w:val="12489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73754"/>
    <w:multiLevelType w:val="hybridMultilevel"/>
    <w:tmpl w:val="1FCC2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993952">
    <w:abstractNumId w:val="1"/>
  </w:num>
  <w:num w:numId="2" w16cid:durableId="936014110">
    <w:abstractNumId w:val="4"/>
  </w:num>
  <w:num w:numId="3" w16cid:durableId="1291859499">
    <w:abstractNumId w:val="2"/>
  </w:num>
  <w:num w:numId="4" w16cid:durableId="1957329107">
    <w:abstractNumId w:val="5"/>
  </w:num>
  <w:num w:numId="5" w16cid:durableId="1638023334">
    <w:abstractNumId w:val="3"/>
  </w:num>
  <w:num w:numId="6" w16cid:durableId="127023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AB"/>
    <w:rsid w:val="00002F47"/>
    <w:rsid w:val="00010E6D"/>
    <w:rsid w:val="00011091"/>
    <w:rsid w:val="000212BF"/>
    <w:rsid w:val="00036DAF"/>
    <w:rsid w:val="00065879"/>
    <w:rsid w:val="000A2A76"/>
    <w:rsid w:val="000E2834"/>
    <w:rsid w:val="000E46F9"/>
    <w:rsid w:val="0011615D"/>
    <w:rsid w:val="00203465"/>
    <w:rsid w:val="00214A06"/>
    <w:rsid w:val="00231352"/>
    <w:rsid w:val="00244C35"/>
    <w:rsid w:val="00261A7C"/>
    <w:rsid w:val="00271B13"/>
    <w:rsid w:val="00280A86"/>
    <w:rsid w:val="002A20D8"/>
    <w:rsid w:val="002B4CAB"/>
    <w:rsid w:val="002B7AC4"/>
    <w:rsid w:val="002C6A89"/>
    <w:rsid w:val="002C713E"/>
    <w:rsid w:val="002F47B8"/>
    <w:rsid w:val="0032059C"/>
    <w:rsid w:val="00343278"/>
    <w:rsid w:val="00345CF3"/>
    <w:rsid w:val="003745BA"/>
    <w:rsid w:val="0039419B"/>
    <w:rsid w:val="0040654B"/>
    <w:rsid w:val="00436E42"/>
    <w:rsid w:val="00443EE8"/>
    <w:rsid w:val="004538A3"/>
    <w:rsid w:val="00494368"/>
    <w:rsid w:val="004A23F2"/>
    <w:rsid w:val="004A2A87"/>
    <w:rsid w:val="004A7728"/>
    <w:rsid w:val="004C266B"/>
    <w:rsid w:val="004F0463"/>
    <w:rsid w:val="00512C11"/>
    <w:rsid w:val="00536EBF"/>
    <w:rsid w:val="00537FBD"/>
    <w:rsid w:val="005633A0"/>
    <w:rsid w:val="005738E5"/>
    <w:rsid w:val="00582C0D"/>
    <w:rsid w:val="005B4AD9"/>
    <w:rsid w:val="005D7222"/>
    <w:rsid w:val="005F4BB0"/>
    <w:rsid w:val="0060579E"/>
    <w:rsid w:val="006312C9"/>
    <w:rsid w:val="00674CEC"/>
    <w:rsid w:val="006A73B3"/>
    <w:rsid w:val="006D7FA4"/>
    <w:rsid w:val="006E7A6A"/>
    <w:rsid w:val="007013EC"/>
    <w:rsid w:val="00763E36"/>
    <w:rsid w:val="0078178E"/>
    <w:rsid w:val="007A6B8B"/>
    <w:rsid w:val="007B169F"/>
    <w:rsid w:val="007B62B7"/>
    <w:rsid w:val="007D0A78"/>
    <w:rsid w:val="007D7EE8"/>
    <w:rsid w:val="008127C4"/>
    <w:rsid w:val="008274AF"/>
    <w:rsid w:val="008438F7"/>
    <w:rsid w:val="00877091"/>
    <w:rsid w:val="008852F3"/>
    <w:rsid w:val="00887E3A"/>
    <w:rsid w:val="008B7F29"/>
    <w:rsid w:val="008C67C6"/>
    <w:rsid w:val="008D7155"/>
    <w:rsid w:val="008E1C0A"/>
    <w:rsid w:val="008F2ED8"/>
    <w:rsid w:val="00916018"/>
    <w:rsid w:val="0093778B"/>
    <w:rsid w:val="009637D0"/>
    <w:rsid w:val="009679AF"/>
    <w:rsid w:val="009A31DD"/>
    <w:rsid w:val="009F4136"/>
    <w:rsid w:val="00A1437A"/>
    <w:rsid w:val="00A23C89"/>
    <w:rsid w:val="00A37855"/>
    <w:rsid w:val="00A56738"/>
    <w:rsid w:val="00A73BFA"/>
    <w:rsid w:val="00A8196B"/>
    <w:rsid w:val="00AD13F3"/>
    <w:rsid w:val="00AE1EB1"/>
    <w:rsid w:val="00AF6054"/>
    <w:rsid w:val="00AF7C31"/>
    <w:rsid w:val="00B24542"/>
    <w:rsid w:val="00B25D4B"/>
    <w:rsid w:val="00B4147D"/>
    <w:rsid w:val="00B5425F"/>
    <w:rsid w:val="00BA2CE8"/>
    <w:rsid w:val="00BB071A"/>
    <w:rsid w:val="00BF7B79"/>
    <w:rsid w:val="00C20748"/>
    <w:rsid w:val="00C228D4"/>
    <w:rsid w:val="00C2409E"/>
    <w:rsid w:val="00C34E51"/>
    <w:rsid w:val="00C41D7C"/>
    <w:rsid w:val="00C56306"/>
    <w:rsid w:val="00C6189C"/>
    <w:rsid w:val="00C644F7"/>
    <w:rsid w:val="00C75C3F"/>
    <w:rsid w:val="00CA54F3"/>
    <w:rsid w:val="00CD101F"/>
    <w:rsid w:val="00D62EB6"/>
    <w:rsid w:val="00D97495"/>
    <w:rsid w:val="00DA1B0D"/>
    <w:rsid w:val="00DA2D93"/>
    <w:rsid w:val="00DE0C38"/>
    <w:rsid w:val="00E21868"/>
    <w:rsid w:val="00E27978"/>
    <w:rsid w:val="00E36C78"/>
    <w:rsid w:val="00E67C17"/>
    <w:rsid w:val="00E95A41"/>
    <w:rsid w:val="00EC5274"/>
    <w:rsid w:val="00F0341B"/>
    <w:rsid w:val="00F35850"/>
    <w:rsid w:val="00F3721E"/>
    <w:rsid w:val="00F46C8D"/>
    <w:rsid w:val="00F55415"/>
    <w:rsid w:val="00F61DFA"/>
    <w:rsid w:val="00F92A2A"/>
    <w:rsid w:val="00FB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8EEE"/>
  <w15:chartTrackingRefBased/>
  <w15:docId w15:val="{F44A6EB1-8A36-3945-87CA-4A38BF0B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C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C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C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C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C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C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C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C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C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C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C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C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C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C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C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C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C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CA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F04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F04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463"/>
  </w:style>
  <w:style w:type="paragraph" w:styleId="Footer">
    <w:name w:val="footer"/>
    <w:basedOn w:val="Normal"/>
    <w:link w:val="FooterChar"/>
    <w:uiPriority w:val="99"/>
    <w:unhideWhenUsed/>
    <w:rsid w:val="004F04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463"/>
  </w:style>
  <w:style w:type="character" w:styleId="Hyperlink">
    <w:name w:val="Hyperlink"/>
    <w:basedOn w:val="DefaultParagraphFont"/>
    <w:uiPriority w:val="99"/>
    <w:unhideWhenUsed/>
    <w:rsid w:val="00214A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0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0341B"/>
  </w:style>
  <w:style w:type="character" w:styleId="FollowedHyperlink">
    <w:name w:val="FollowedHyperlink"/>
    <w:basedOn w:val="DefaultParagraphFont"/>
    <w:uiPriority w:val="99"/>
    <w:semiHidden/>
    <w:unhideWhenUsed/>
    <w:rsid w:val="00D62EB6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1C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1C0A"/>
    <w:pPr>
      <w:spacing w:after="160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1C0A"/>
    <w:rPr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2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forscope/posts/?feedView=al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orscope.e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etra@phoenixco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Forscop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3832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Gidei</dc:creator>
  <cp:keywords/>
  <dc:description/>
  <cp:lastModifiedBy>Igor Walter</cp:lastModifiedBy>
  <cp:revision>2</cp:revision>
  <dcterms:created xsi:type="dcterms:W3CDTF">2025-04-25T15:54:00Z</dcterms:created>
  <dcterms:modified xsi:type="dcterms:W3CDTF">2025-04-25T15:54:00Z</dcterms:modified>
</cp:coreProperties>
</file>