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AABE" w14:textId="77777777" w:rsidR="008E1C0A" w:rsidRDefault="008E1C0A" w:rsidP="002F47B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6A91224" w14:textId="553040C0" w:rsidR="002C6A89" w:rsidRPr="002C6A89" w:rsidRDefault="008E1C0A" w:rsidP="002F47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Je BYOL správným krokem pro </w:t>
      </w:r>
      <w:r w:rsidR="00203465">
        <w:rPr>
          <w:rFonts w:ascii="Tahoma" w:hAnsi="Tahoma" w:cs="Tahoma"/>
          <w:b/>
          <w:bCs/>
          <w:sz w:val="28"/>
          <w:szCs w:val="28"/>
        </w:rPr>
        <w:t xml:space="preserve">snížení IT nákladů ve </w:t>
      </w:r>
      <w:r>
        <w:rPr>
          <w:rFonts w:ascii="Tahoma" w:hAnsi="Tahoma" w:cs="Tahoma"/>
          <w:b/>
          <w:bCs/>
          <w:sz w:val="28"/>
          <w:szCs w:val="28"/>
        </w:rPr>
        <w:t>vaš</w:t>
      </w:r>
      <w:r w:rsidR="00203465">
        <w:rPr>
          <w:rFonts w:ascii="Tahoma" w:hAnsi="Tahoma" w:cs="Tahoma"/>
          <w:b/>
          <w:bCs/>
          <w:sz w:val="28"/>
          <w:szCs w:val="28"/>
        </w:rPr>
        <w:t>í</w:t>
      </w:r>
      <w:r>
        <w:rPr>
          <w:rFonts w:ascii="Tahoma" w:hAnsi="Tahoma" w:cs="Tahoma"/>
          <w:b/>
          <w:bCs/>
          <w:sz w:val="28"/>
          <w:szCs w:val="28"/>
        </w:rPr>
        <w:t xml:space="preserve"> firm</w:t>
      </w:r>
      <w:r w:rsidR="00203465">
        <w:rPr>
          <w:rFonts w:ascii="Tahoma" w:hAnsi="Tahoma" w:cs="Tahoma"/>
          <w:b/>
          <w:bCs/>
          <w:sz w:val="28"/>
          <w:szCs w:val="28"/>
        </w:rPr>
        <w:t>ě</w:t>
      </w:r>
      <w:r>
        <w:rPr>
          <w:rFonts w:ascii="Tahoma" w:hAnsi="Tahoma" w:cs="Tahoma"/>
          <w:b/>
          <w:bCs/>
          <w:sz w:val="28"/>
          <w:szCs w:val="28"/>
        </w:rPr>
        <w:t>?</w:t>
      </w:r>
    </w:p>
    <w:p w14:paraId="6C7904F0" w14:textId="77777777" w:rsidR="002F47B8" w:rsidRDefault="002F47B8" w:rsidP="002F47B8">
      <w:pPr>
        <w:rPr>
          <w:rFonts w:eastAsia="Times New Roman" w:cs="Times New Roman"/>
          <w:b/>
          <w:bCs/>
          <w:sz w:val="40"/>
          <w:szCs w:val="40"/>
          <w:lang w:eastAsia="en-GB"/>
        </w:rPr>
      </w:pPr>
    </w:p>
    <w:p w14:paraId="5602148F" w14:textId="179CA023" w:rsidR="008E1C0A" w:rsidRPr="008E1C0A" w:rsidRDefault="002F47B8" w:rsidP="008E1C0A">
      <w:pPr>
        <w:rPr>
          <w:rFonts w:ascii="Tahoma" w:hAnsi="Tahoma" w:cs="Tahoma"/>
          <w:sz w:val="22"/>
          <w:szCs w:val="22"/>
        </w:rPr>
      </w:pPr>
      <w:r w:rsidRPr="6E84528A">
        <w:rPr>
          <w:rFonts w:ascii="Tahoma" w:hAnsi="Tahoma" w:cs="Tahoma"/>
          <w:sz w:val="22"/>
          <w:szCs w:val="22"/>
        </w:rPr>
        <w:t xml:space="preserve">Praha, </w:t>
      </w:r>
      <w:r w:rsidR="1F47EB21" w:rsidRPr="6E84528A">
        <w:rPr>
          <w:rFonts w:ascii="Tahoma" w:hAnsi="Tahoma" w:cs="Tahoma"/>
          <w:sz w:val="22"/>
          <w:szCs w:val="22"/>
        </w:rPr>
        <w:t>25</w:t>
      </w:r>
      <w:r w:rsidRPr="6E84528A">
        <w:rPr>
          <w:rFonts w:ascii="Tahoma" w:hAnsi="Tahoma" w:cs="Tahoma"/>
          <w:sz w:val="22"/>
          <w:szCs w:val="22"/>
        </w:rPr>
        <w:t>. března 2025 –</w:t>
      </w:r>
      <w:r w:rsidR="008E1C0A" w:rsidRPr="6E84528A">
        <w:rPr>
          <w:rFonts w:ascii="Tahoma" w:hAnsi="Tahoma" w:cs="Tahoma"/>
          <w:sz w:val="22"/>
          <w:szCs w:val="22"/>
        </w:rPr>
        <w:t xml:space="preserve"> </w:t>
      </w:r>
      <w:r w:rsidR="008E1C0A" w:rsidRPr="6E84528A">
        <w:rPr>
          <w:rFonts w:ascii="Tahoma" w:hAnsi="Tahoma" w:cs="Tahoma"/>
          <w:b/>
          <w:bCs/>
          <w:sz w:val="22"/>
          <w:szCs w:val="22"/>
        </w:rPr>
        <w:t>Rostoucí příklon ke cloudovým technologiím vede firmy k přehodnocování strategie využívání licencovaného softwaru s cílem optimalizovat náklady a zachovat provozní efektivitu. Mnoho společností migrujících do cloudu tak stojí před klíčovým rozhodnutím: pokračovat v modelech založených na předplatném</w:t>
      </w:r>
      <w:r w:rsidR="00203465" w:rsidRPr="6E84528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E1C0A" w:rsidRPr="6E84528A">
        <w:rPr>
          <w:rFonts w:ascii="Tahoma" w:hAnsi="Tahoma" w:cs="Tahoma"/>
          <w:b/>
          <w:bCs/>
          <w:sz w:val="22"/>
          <w:szCs w:val="22"/>
        </w:rPr>
        <w:t xml:space="preserve">nebo využít </w:t>
      </w:r>
      <w:r w:rsidR="00763E36" w:rsidRPr="6E84528A">
        <w:rPr>
          <w:rFonts w:ascii="Tahoma" w:hAnsi="Tahoma" w:cs="Tahoma"/>
          <w:b/>
          <w:bCs/>
          <w:sz w:val="22"/>
          <w:szCs w:val="22"/>
        </w:rPr>
        <w:t xml:space="preserve">dosavadní </w:t>
      </w:r>
      <w:r w:rsidR="008E1C0A" w:rsidRPr="6E84528A">
        <w:rPr>
          <w:rFonts w:ascii="Tahoma" w:hAnsi="Tahoma" w:cs="Tahoma"/>
          <w:b/>
          <w:bCs/>
          <w:sz w:val="22"/>
          <w:szCs w:val="22"/>
        </w:rPr>
        <w:t>software prostřednictvím „</w:t>
      </w:r>
      <w:proofErr w:type="spellStart"/>
      <w:r w:rsidR="008E1C0A" w:rsidRPr="6E84528A">
        <w:rPr>
          <w:rFonts w:ascii="Tahoma" w:hAnsi="Tahoma" w:cs="Tahoma"/>
          <w:b/>
          <w:bCs/>
          <w:sz w:val="22"/>
          <w:szCs w:val="22"/>
        </w:rPr>
        <w:t>Bring</w:t>
      </w:r>
      <w:proofErr w:type="spellEnd"/>
      <w:r w:rsidR="008E1C0A" w:rsidRPr="6E84528A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8E1C0A" w:rsidRPr="6E84528A">
        <w:rPr>
          <w:rFonts w:ascii="Tahoma" w:hAnsi="Tahoma" w:cs="Tahoma"/>
          <w:b/>
          <w:bCs/>
          <w:sz w:val="22"/>
          <w:szCs w:val="22"/>
        </w:rPr>
        <w:t>Your</w:t>
      </w:r>
      <w:proofErr w:type="spellEnd"/>
      <w:r w:rsidR="008E1C0A" w:rsidRPr="6E84528A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8E1C0A" w:rsidRPr="6E84528A">
        <w:rPr>
          <w:rFonts w:ascii="Tahoma" w:hAnsi="Tahoma" w:cs="Tahoma"/>
          <w:b/>
          <w:bCs/>
          <w:sz w:val="22"/>
          <w:szCs w:val="22"/>
        </w:rPr>
        <w:t>Own</w:t>
      </w:r>
      <w:proofErr w:type="spellEnd"/>
      <w:r w:rsidR="008E1C0A" w:rsidRPr="6E84528A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8E1C0A" w:rsidRPr="6E84528A">
        <w:rPr>
          <w:rFonts w:ascii="Tahoma" w:hAnsi="Tahoma" w:cs="Tahoma"/>
          <w:b/>
          <w:bCs/>
          <w:sz w:val="22"/>
          <w:szCs w:val="22"/>
        </w:rPr>
        <w:t>License</w:t>
      </w:r>
      <w:proofErr w:type="spellEnd"/>
      <w:r w:rsidR="008E1C0A" w:rsidRPr="6E84528A">
        <w:rPr>
          <w:rFonts w:ascii="Tahoma" w:hAnsi="Tahoma" w:cs="Tahoma"/>
          <w:b/>
          <w:bCs/>
          <w:sz w:val="22"/>
          <w:szCs w:val="22"/>
        </w:rPr>
        <w:t>“ (BYOL).</w:t>
      </w:r>
    </w:p>
    <w:p w14:paraId="28DB9D9F" w14:textId="77777777" w:rsidR="008E1C0A" w:rsidRDefault="008E1C0A" w:rsidP="008E1C0A"/>
    <w:p w14:paraId="4897EE6F" w14:textId="126FA5E4" w:rsidR="008E1C0A" w:rsidRPr="008E1C0A" w:rsidRDefault="008E1C0A" w:rsidP="008E1C0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Model </w:t>
      </w:r>
      <w:r w:rsidRPr="008E1C0A">
        <w:rPr>
          <w:rFonts w:ascii="Tahoma" w:hAnsi="Tahoma" w:cs="Tahoma"/>
          <w:sz w:val="22"/>
          <w:szCs w:val="22"/>
        </w:rPr>
        <w:t>BYOL umožňuje společnostem přenést jejich trvalé softwarové licence do veřejných nebo hybridních cloudových prostředí</w:t>
      </w:r>
      <w:r w:rsidR="00763E36">
        <w:rPr>
          <w:rFonts w:ascii="Tahoma" w:hAnsi="Tahoma" w:cs="Tahoma"/>
          <w:sz w:val="22"/>
          <w:szCs w:val="22"/>
        </w:rPr>
        <w:t>,</w:t>
      </w:r>
      <w:r w:rsidRPr="008E1C0A">
        <w:rPr>
          <w:rFonts w:ascii="Tahoma" w:hAnsi="Tahoma" w:cs="Tahoma"/>
          <w:sz w:val="22"/>
          <w:szCs w:val="22"/>
        </w:rPr>
        <w:t xml:space="preserve"> jako </w:t>
      </w:r>
      <w:r w:rsidR="00763E36" w:rsidRPr="008E1C0A">
        <w:rPr>
          <w:rFonts w:ascii="Tahoma" w:hAnsi="Tahoma" w:cs="Tahoma"/>
          <w:sz w:val="22"/>
          <w:szCs w:val="22"/>
        </w:rPr>
        <w:t>j</w:t>
      </w:r>
      <w:r w:rsidR="00763E36">
        <w:rPr>
          <w:rFonts w:ascii="Tahoma" w:hAnsi="Tahoma" w:cs="Tahoma"/>
          <w:sz w:val="22"/>
          <w:szCs w:val="22"/>
        </w:rPr>
        <w:t>sou</w:t>
      </w:r>
      <w:r w:rsidR="00763E36" w:rsidRPr="008E1C0A">
        <w:rPr>
          <w:rFonts w:ascii="Tahoma" w:hAnsi="Tahoma" w:cs="Tahoma"/>
          <w:sz w:val="22"/>
          <w:szCs w:val="22"/>
        </w:rPr>
        <w:t xml:space="preserve"> </w:t>
      </w:r>
      <w:r w:rsidRPr="008E1C0A">
        <w:rPr>
          <w:rFonts w:ascii="Tahoma" w:hAnsi="Tahoma" w:cs="Tahoma"/>
          <w:sz w:val="22"/>
          <w:szCs w:val="22"/>
        </w:rPr>
        <w:t xml:space="preserve">Microsoft Azure, AWS nebo Google Cloud </w:t>
      </w:r>
      <w:proofErr w:type="spellStart"/>
      <w:r w:rsidRPr="008E1C0A">
        <w:rPr>
          <w:rFonts w:ascii="Tahoma" w:hAnsi="Tahoma" w:cs="Tahoma"/>
          <w:sz w:val="22"/>
          <w:szCs w:val="22"/>
        </w:rPr>
        <w:t>Platform</w:t>
      </w:r>
      <w:proofErr w:type="spellEnd"/>
      <w:r w:rsidRPr="008E1C0A">
        <w:rPr>
          <w:rFonts w:ascii="Tahoma" w:hAnsi="Tahoma" w:cs="Tahoma"/>
          <w:sz w:val="22"/>
          <w:szCs w:val="22"/>
        </w:rPr>
        <w:t xml:space="preserve"> (GCP). Místo nákladných licenčních plánů pro přechod na cloudové řešení mohou firmy využít vlastní licence na virtuálních strojích nebo infrastruktuře hostované v cloudu. Licence tak zůstanou v jejich vlastnictví a dlouhodobé provozní náklady se jim sníží.</w:t>
      </w:r>
    </w:p>
    <w:p w14:paraId="07A2EAC0" w14:textId="77777777" w:rsidR="008E1C0A" w:rsidRPr="008E1C0A" w:rsidRDefault="008E1C0A" w:rsidP="008E1C0A">
      <w:pPr>
        <w:rPr>
          <w:rFonts w:ascii="Tahoma" w:hAnsi="Tahoma" w:cs="Tahoma"/>
          <w:sz w:val="22"/>
          <w:szCs w:val="22"/>
        </w:rPr>
      </w:pPr>
    </w:p>
    <w:p w14:paraId="101473BC" w14:textId="603BDD64" w:rsidR="008E1C0A" w:rsidRPr="008E1C0A" w:rsidRDefault="008E1C0A" w:rsidP="008E1C0A">
      <w:pPr>
        <w:rPr>
          <w:rFonts w:ascii="Tahoma" w:hAnsi="Tahoma" w:cs="Tahoma"/>
          <w:sz w:val="22"/>
          <w:szCs w:val="22"/>
        </w:rPr>
      </w:pPr>
      <w:r w:rsidRPr="008E1C0A">
        <w:rPr>
          <w:rFonts w:ascii="Tahoma" w:hAnsi="Tahoma" w:cs="Tahoma"/>
          <w:sz w:val="22"/>
          <w:szCs w:val="22"/>
        </w:rPr>
        <w:t xml:space="preserve">Poskytovatelé cloudových řešení nabízejí BYOL, ale přicházejí se specifickými podmínkami. Například smlouvy společnosti Microsoft o softwarovém zajištění a mobilitě licencí určují, které licence lze přenést na cloudové poskytovatele třetích stran. Pochopení těchto pravidel je klíčové pro zajištění shody s předpisy a zároveň pro maximalizaci benefitů </w:t>
      </w:r>
      <w:r w:rsidR="00763E36" w:rsidRPr="008E1C0A">
        <w:rPr>
          <w:rFonts w:ascii="Tahoma" w:hAnsi="Tahoma" w:cs="Tahoma"/>
          <w:sz w:val="22"/>
          <w:szCs w:val="22"/>
        </w:rPr>
        <w:t>vypl</w:t>
      </w:r>
      <w:r w:rsidR="00763E36">
        <w:rPr>
          <w:rFonts w:ascii="Tahoma" w:hAnsi="Tahoma" w:cs="Tahoma"/>
          <w:sz w:val="22"/>
          <w:szCs w:val="22"/>
        </w:rPr>
        <w:t>ý</w:t>
      </w:r>
      <w:r w:rsidR="00763E36" w:rsidRPr="008E1C0A">
        <w:rPr>
          <w:rFonts w:ascii="Tahoma" w:hAnsi="Tahoma" w:cs="Tahoma"/>
          <w:sz w:val="22"/>
          <w:szCs w:val="22"/>
        </w:rPr>
        <w:t xml:space="preserve">vajících </w:t>
      </w:r>
      <w:r w:rsidRPr="008E1C0A">
        <w:rPr>
          <w:rFonts w:ascii="Tahoma" w:hAnsi="Tahoma" w:cs="Tahoma"/>
          <w:sz w:val="22"/>
          <w:szCs w:val="22"/>
        </w:rPr>
        <w:t xml:space="preserve">z využití </w:t>
      </w:r>
      <w:r w:rsidR="00203465" w:rsidRPr="008E1C0A">
        <w:rPr>
          <w:rFonts w:ascii="Tahoma" w:hAnsi="Tahoma" w:cs="Tahoma"/>
          <w:sz w:val="22"/>
          <w:szCs w:val="22"/>
        </w:rPr>
        <w:t xml:space="preserve">BYOL </w:t>
      </w:r>
      <w:r w:rsidRPr="008E1C0A">
        <w:rPr>
          <w:rFonts w:ascii="Tahoma" w:hAnsi="Tahoma" w:cs="Tahoma"/>
          <w:sz w:val="22"/>
          <w:szCs w:val="22"/>
        </w:rPr>
        <w:t>modelu.</w:t>
      </w:r>
    </w:p>
    <w:p w14:paraId="7BA8BEAC" w14:textId="77777777" w:rsidR="008E1C0A" w:rsidRPr="008E1C0A" w:rsidRDefault="008E1C0A" w:rsidP="008E1C0A">
      <w:pPr>
        <w:rPr>
          <w:rFonts w:ascii="Tahoma" w:hAnsi="Tahoma" w:cs="Tahoma"/>
          <w:sz w:val="22"/>
          <w:szCs w:val="22"/>
        </w:rPr>
      </w:pPr>
    </w:p>
    <w:p w14:paraId="13A7C25A" w14:textId="01479E3A" w:rsidR="008E1C0A" w:rsidRDefault="008E1C0A" w:rsidP="008E1C0A">
      <w:pPr>
        <w:rPr>
          <w:rFonts w:ascii="Tahoma" w:hAnsi="Tahoma" w:cs="Tahoma"/>
          <w:b/>
          <w:bCs/>
          <w:sz w:val="22"/>
          <w:szCs w:val="22"/>
        </w:rPr>
      </w:pPr>
      <w:r w:rsidRPr="008E1C0A">
        <w:rPr>
          <w:rFonts w:ascii="Tahoma" w:hAnsi="Tahoma" w:cs="Tahoma"/>
          <w:b/>
          <w:bCs/>
          <w:sz w:val="22"/>
          <w:szCs w:val="22"/>
        </w:rPr>
        <w:t xml:space="preserve">Proč </w:t>
      </w:r>
      <w:r>
        <w:rPr>
          <w:rFonts w:ascii="Tahoma" w:hAnsi="Tahoma" w:cs="Tahoma"/>
          <w:b/>
          <w:bCs/>
          <w:sz w:val="22"/>
          <w:szCs w:val="22"/>
        </w:rPr>
        <w:t xml:space="preserve">vsadit na </w:t>
      </w:r>
      <w:r w:rsidRPr="008E1C0A">
        <w:rPr>
          <w:rFonts w:ascii="Tahoma" w:hAnsi="Tahoma" w:cs="Tahoma"/>
          <w:b/>
          <w:bCs/>
          <w:sz w:val="22"/>
          <w:szCs w:val="22"/>
        </w:rPr>
        <w:t>BYOL v</w:t>
      </w:r>
      <w:r>
        <w:rPr>
          <w:rFonts w:ascii="Tahoma" w:hAnsi="Tahoma" w:cs="Tahoma"/>
          <w:b/>
          <w:bCs/>
          <w:sz w:val="22"/>
          <w:szCs w:val="22"/>
        </w:rPr>
        <w:t> </w:t>
      </w:r>
      <w:r w:rsidRPr="008E1C0A">
        <w:rPr>
          <w:rFonts w:ascii="Tahoma" w:hAnsi="Tahoma" w:cs="Tahoma"/>
          <w:b/>
          <w:bCs/>
          <w:sz w:val="22"/>
          <w:szCs w:val="22"/>
        </w:rPr>
        <w:t>rámci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E1C0A">
        <w:rPr>
          <w:rFonts w:ascii="Tahoma" w:hAnsi="Tahoma" w:cs="Tahoma"/>
          <w:b/>
          <w:bCs/>
          <w:sz w:val="22"/>
          <w:szCs w:val="22"/>
        </w:rPr>
        <w:t>cloudové strategie?</w:t>
      </w:r>
    </w:p>
    <w:p w14:paraId="692BE623" w14:textId="77777777" w:rsidR="008E1C0A" w:rsidRPr="008E1C0A" w:rsidRDefault="008E1C0A" w:rsidP="008E1C0A">
      <w:pPr>
        <w:rPr>
          <w:rFonts w:ascii="Tahoma" w:hAnsi="Tahoma" w:cs="Tahoma"/>
          <w:b/>
          <w:bCs/>
          <w:sz w:val="22"/>
          <w:szCs w:val="22"/>
        </w:rPr>
      </w:pPr>
    </w:p>
    <w:p w14:paraId="25D79F88" w14:textId="77777777" w:rsidR="008E1C0A" w:rsidRDefault="008E1C0A" w:rsidP="008E1C0A">
      <w:pPr>
        <w:rPr>
          <w:rFonts w:ascii="Tahoma" w:hAnsi="Tahoma" w:cs="Tahoma"/>
          <w:sz w:val="22"/>
          <w:szCs w:val="22"/>
        </w:rPr>
      </w:pPr>
      <w:r w:rsidRPr="008E1C0A">
        <w:rPr>
          <w:rFonts w:ascii="Tahoma" w:hAnsi="Tahoma" w:cs="Tahoma"/>
          <w:sz w:val="22"/>
          <w:szCs w:val="22"/>
        </w:rPr>
        <w:t>Model BYOL nabízí několik klíčových výhod, které z něj dělají atraktivní volbu pro firmy hledající příležitost, jak snížit výdaje na software a zároveň si zachovat flexibilitu:</w:t>
      </w:r>
    </w:p>
    <w:p w14:paraId="04974CE5" w14:textId="77777777" w:rsidR="00203465" w:rsidRPr="008E1C0A" w:rsidRDefault="00203465" w:rsidP="008E1C0A">
      <w:pPr>
        <w:rPr>
          <w:rFonts w:ascii="Tahoma" w:hAnsi="Tahoma" w:cs="Tahoma"/>
          <w:sz w:val="22"/>
          <w:szCs w:val="22"/>
        </w:rPr>
      </w:pPr>
    </w:p>
    <w:p w14:paraId="5C0FFE05" w14:textId="39BEAA90" w:rsidR="008E1C0A" w:rsidRPr="008E1C0A" w:rsidRDefault="008E1C0A" w:rsidP="008E1C0A">
      <w:pPr>
        <w:pStyle w:val="Odstavecseseznamem"/>
        <w:numPr>
          <w:ilvl w:val="0"/>
          <w:numId w:val="6"/>
        </w:numPr>
        <w:spacing w:after="160" w:line="278" w:lineRule="auto"/>
        <w:rPr>
          <w:rFonts w:ascii="Tahoma" w:hAnsi="Tahoma" w:cs="Tahoma"/>
          <w:sz w:val="22"/>
          <w:szCs w:val="22"/>
        </w:rPr>
      </w:pPr>
      <w:r w:rsidRPr="008E1C0A">
        <w:rPr>
          <w:rFonts w:ascii="Tahoma" w:hAnsi="Tahoma" w:cs="Tahoma"/>
          <w:b/>
          <w:bCs/>
          <w:sz w:val="22"/>
          <w:szCs w:val="22"/>
        </w:rPr>
        <w:t xml:space="preserve">Úspora nákladů: </w:t>
      </w:r>
      <w:r w:rsidR="00763E36">
        <w:rPr>
          <w:rFonts w:ascii="Tahoma" w:hAnsi="Tahoma" w:cs="Tahoma"/>
          <w:sz w:val="22"/>
          <w:szCs w:val="22"/>
        </w:rPr>
        <w:t>s</w:t>
      </w:r>
      <w:r w:rsidR="00763E36" w:rsidRPr="008E1C0A">
        <w:rPr>
          <w:rFonts w:ascii="Tahoma" w:hAnsi="Tahoma" w:cs="Tahoma"/>
          <w:sz w:val="22"/>
          <w:szCs w:val="22"/>
        </w:rPr>
        <w:t xml:space="preserve">polečnosti </w:t>
      </w:r>
      <w:r w:rsidRPr="008E1C0A">
        <w:rPr>
          <w:rFonts w:ascii="Tahoma" w:hAnsi="Tahoma" w:cs="Tahoma"/>
          <w:sz w:val="22"/>
          <w:szCs w:val="22"/>
        </w:rPr>
        <w:t xml:space="preserve">se mohou vyhnout drahým cloudovým předplatným použitím </w:t>
      </w:r>
      <w:r w:rsidR="00763E36">
        <w:rPr>
          <w:rFonts w:ascii="Tahoma" w:hAnsi="Tahoma" w:cs="Tahoma"/>
          <w:sz w:val="22"/>
          <w:szCs w:val="22"/>
        </w:rPr>
        <w:t>původních</w:t>
      </w:r>
      <w:r w:rsidR="00763E36" w:rsidRPr="008E1C0A">
        <w:rPr>
          <w:rFonts w:ascii="Tahoma" w:hAnsi="Tahoma" w:cs="Tahoma"/>
          <w:sz w:val="22"/>
          <w:szCs w:val="22"/>
        </w:rPr>
        <w:t xml:space="preserve"> </w:t>
      </w:r>
      <w:r w:rsidRPr="008E1C0A">
        <w:rPr>
          <w:rFonts w:ascii="Tahoma" w:hAnsi="Tahoma" w:cs="Tahoma"/>
          <w:sz w:val="22"/>
          <w:szCs w:val="22"/>
        </w:rPr>
        <w:t>licencí, což vede k významnému snížení dlouhodobých nákladů.</w:t>
      </w:r>
    </w:p>
    <w:p w14:paraId="0E4571AC" w14:textId="62A21E51" w:rsidR="008E1C0A" w:rsidRPr="008E1C0A" w:rsidRDefault="008E1C0A" w:rsidP="008E1C0A">
      <w:pPr>
        <w:pStyle w:val="Odstavecseseznamem"/>
        <w:numPr>
          <w:ilvl w:val="0"/>
          <w:numId w:val="6"/>
        </w:numPr>
        <w:spacing w:after="160" w:line="278" w:lineRule="auto"/>
        <w:rPr>
          <w:rFonts w:ascii="Tahoma" w:hAnsi="Tahoma" w:cs="Tahoma"/>
          <w:sz w:val="22"/>
          <w:szCs w:val="22"/>
        </w:rPr>
      </w:pPr>
      <w:r w:rsidRPr="008E1C0A">
        <w:rPr>
          <w:rFonts w:ascii="Tahoma" w:hAnsi="Tahoma" w:cs="Tahoma"/>
          <w:b/>
          <w:bCs/>
          <w:sz w:val="22"/>
          <w:szCs w:val="22"/>
        </w:rPr>
        <w:t xml:space="preserve">Vlastnictví a kontrola licence: </w:t>
      </w:r>
      <w:r w:rsidR="00763E36">
        <w:rPr>
          <w:rFonts w:ascii="Tahoma" w:hAnsi="Tahoma" w:cs="Tahoma"/>
          <w:sz w:val="22"/>
          <w:szCs w:val="22"/>
        </w:rPr>
        <w:t>n</w:t>
      </w:r>
      <w:r w:rsidR="00763E36" w:rsidRPr="008E1C0A">
        <w:rPr>
          <w:rFonts w:ascii="Tahoma" w:hAnsi="Tahoma" w:cs="Tahoma"/>
          <w:sz w:val="22"/>
          <w:szCs w:val="22"/>
        </w:rPr>
        <w:t xml:space="preserve">a </w:t>
      </w:r>
      <w:r w:rsidRPr="008E1C0A">
        <w:rPr>
          <w:rFonts w:ascii="Tahoma" w:hAnsi="Tahoma" w:cs="Tahoma"/>
          <w:sz w:val="22"/>
          <w:szCs w:val="22"/>
        </w:rPr>
        <w:t xml:space="preserve">rozdíl od cloudových předplatných, která firmy svazují nepřetržitými platbami, poskytuje BYOL plné vlastnictví softwaru, což umožňuje firmám jeho používání na dobu neurčitou bez navyšování cen. </w:t>
      </w:r>
    </w:p>
    <w:p w14:paraId="19267A60" w14:textId="0071F8A0" w:rsidR="008E1C0A" w:rsidRPr="008E1C0A" w:rsidRDefault="008E1C0A" w:rsidP="008E1C0A">
      <w:pPr>
        <w:pStyle w:val="Odstavecseseznamem"/>
        <w:numPr>
          <w:ilvl w:val="0"/>
          <w:numId w:val="6"/>
        </w:numPr>
        <w:spacing w:after="160" w:line="278" w:lineRule="auto"/>
        <w:rPr>
          <w:rFonts w:ascii="Tahoma" w:hAnsi="Tahoma" w:cs="Tahoma"/>
          <w:b/>
          <w:bCs/>
          <w:sz w:val="22"/>
          <w:szCs w:val="22"/>
        </w:rPr>
      </w:pPr>
      <w:r w:rsidRPr="008E1C0A">
        <w:rPr>
          <w:rFonts w:ascii="Tahoma" w:hAnsi="Tahoma" w:cs="Tahoma"/>
          <w:b/>
          <w:bCs/>
          <w:sz w:val="22"/>
          <w:szCs w:val="22"/>
        </w:rPr>
        <w:t xml:space="preserve">Flexibilita v cloudových prostředích: </w:t>
      </w:r>
      <w:r w:rsidRPr="008E1C0A">
        <w:rPr>
          <w:rFonts w:ascii="Tahoma" w:hAnsi="Tahoma" w:cs="Tahoma"/>
          <w:sz w:val="22"/>
          <w:szCs w:val="22"/>
        </w:rPr>
        <w:t xml:space="preserve">BYOL umožňuje organizacím nasazovat software na platformě </w:t>
      </w:r>
      <w:r w:rsidR="00763E36">
        <w:rPr>
          <w:rFonts w:ascii="Tahoma" w:hAnsi="Tahoma" w:cs="Tahoma"/>
          <w:sz w:val="22"/>
          <w:szCs w:val="22"/>
        </w:rPr>
        <w:t>po</w:t>
      </w:r>
      <w:r w:rsidRPr="008E1C0A">
        <w:rPr>
          <w:rFonts w:ascii="Tahoma" w:hAnsi="Tahoma" w:cs="Tahoma"/>
          <w:sz w:val="22"/>
          <w:szCs w:val="22"/>
        </w:rPr>
        <w:t xml:space="preserve">dle vlastního výběru, ať už </w:t>
      </w:r>
      <w:r w:rsidR="00763E36">
        <w:rPr>
          <w:rFonts w:ascii="Tahoma" w:hAnsi="Tahoma" w:cs="Tahoma"/>
          <w:sz w:val="22"/>
          <w:szCs w:val="22"/>
        </w:rPr>
        <w:t>jde</w:t>
      </w:r>
      <w:r w:rsidRPr="008E1C0A">
        <w:rPr>
          <w:rFonts w:ascii="Tahoma" w:hAnsi="Tahoma" w:cs="Tahoma"/>
          <w:sz w:val="22"/>
          <w:szCs w:val="22"/>
        </w:rPr>
        <w:t xml:space="preserve"> o veřejné, privátní nebo hybridní cloudové řešení.</w:t>
      </w:r>
    </w:p>
    <w:p w14:paraId="743172C3" w14:textId="2F5BB485" w:rsidR="008E1C0A" w:rsidRPr="008E1C0A" w:rsidRDefault="008E1C0A" w:rsidP="008E1C0A">
      <w:pPr>
        <w:pStyle w:val="Odstavecseseznamem"/>
        <w:numPr>
          <w:ilvl w:val="0"/>
          <w:numId w:val="6"/>
        </w:numPr>
        <w:spacing w:after="160" w:line="278" w:lineRule="auto"/>
        <w:rPr>
          <w:rFonts w:ascii="Tahoma" w:hAnsi="Tahoma" w:cs="Tahoma"/>
          <w:sz w:val="22"/>
          <w:szCs w:val="22"/>
        </w:rPr>
      </w:pPr>
      <w:r w:rsidRPr="008E1C0A">
        <w:rPr>
          <w:rFonts w:ascii="Tahoma" w:hAnsi="Tahoma" w:cs="Tahoma"/>
          <w:b/>
          <w:bCs/>
          <w:sz w:val="22"/>
          <w:szCs w:val="22"/>
        </w:rPr>
        <w:t xml:space="preserve">Shoda s předpisy a zabezpečení: </w:t>
      </w:r>
      <w:r w:rsidR="00763E36">
        <w:rPr>
          <w:rFonts w:ascii="Tahoma" w:hAnsi="Tahoma" w:cs="Tahoma"/>
          <w:sz w:val="22"/>
          <w:szCs w:val="22"/>
        </w:rPr>
        <w:t>f</w:t>
      </w:r>
      <w:r w:rsidR="00763E36" w:rsidRPr="008E1C0A">
        <w:rPr>
          <w:rFonts w:ascii="Tahoma" w:hAnsi="Tahoma" w:cs="Tahoma"/>
          <w:sz w:val="22"/>
          <w:szCs w:val="22"/>
        </w:rPr>
        <w:t xml:space="preserve">irmy </w:t>
      </w:r>
      <w:r w:rsidRPr="008E1C0A">
        <w:rPr>
          <w:rFonts w:ascii="Tahoma" w:hAnsi="Tahoma" w:cs="Tahoma"/>
          <w:sz w:val="22"/>
          <w:szCs w:val="22"/>
        </w:rPr>
        <w:t>si zachovávají kontrolu nad správou softwaru, čímž zajišťují dodržování interních pravidel a regulačních požadavků.</w:t>
      </w:r>
    </w:p>
    <w:p w14:paraId="280CA465" w14:textId="7EF52137" w:rsidR="008E1C0A" w:rsidRPr="008E1C0A" w:rsidRDefault="008E1C0A" w:rsidP="008E1C0A">
      <w:pPr>
        <w:pStyle w:val="Odstavecseseznamem"/>
        <w:numPr>
          <w:ilvl w:val="0"/>
          <w:numId w:val="6"/>
        </w:numPr>
        <w:spacing w:after="160" w:line="278" w:lineRule="auto"/>
        <w:rPr>
          <w:rFonts w:ascii="Tahoma" w:hAnsi="Tahoma" w:cs="Tahoma"/>
          <w:sz w:val="22"/>
          <w:szCs w:val="22"/>
        </w:rPr>
      </w:pPr>
      <w:r w:rsidRPr="008E1C0A">
        <w:rPr>
          <w:rFonts w:ascii="Tahoma" w:hAnsi="Tahoma" w:cs="Tahoma"/>
          <w:b/>
          <w:bCs/>
          <w:sz w:val="22"/>
          <w:szCs w:val="22"/>
        </w:rPr>
        <w:t>Udržitelnost a optimalizace IT aktiv:</w:t>
      </w:r>
      <w:r w:rsidRPr="008E1C0A">
        <w:rPr>
          <w:rFonts w:ascii="Tahoma" w:hAnsi="Tahoma" w:cs="Tahoma"/>
          <w:sz w:val="22"/>
          <w:szCs w:val="22"/>
        </w:rPr>
        <w:t xml:space="preserve"> </w:t>
      </w:r>
      <w:r w:rsidR="00763E36">
        <w:rPr>
          <w:rFonts w:ascii="Tahoma" w:hAnsi="Tahoma" w:cs="Tahoma"/>
          <w:sz w:val="22"/>
          <w:szCs w:val="22"/>
        </w:rPr>
        <w:t>o</w:t>
      </w:r>
      <w:r w:rsidR="00763E36" w:rsidRPr="008E1C0A">
        <w:rPr>
          <w:rFonts w:ascii="Tahoma" w:hAnsi="Tahoma" w:cs="Tahoma"/>
          <w:sz w:val="22"/>
          <w:szCs w:val="22"/>
        </w:rPr>
        <w:t xml:space="preserve">pětovné </w:t>
      </w:r>
      <w:r w:rsidRPr="008E1C0A">
        <w:rPr>
          <w:rFonts w:ascii="Tahoma" w:hAnsi="Tahoma" w:cs="Tahoma"/>
          <w:sz w:val="22"/>
          <w:szCs w:val="22"/>
        </w:rPr>
        <w:t xml:space="preserve">použití </w:t>
      </w:r>
      <w:r w:rsidR="00763E36">
        <w:rPr>
          <w:rFonts w:ascii="Tahoma" w:hAnsi="Tahoma" w:cs="Tahoma"/>
          <w:sz w:val="22"/>
          <w:szCs w:val="22"/>
        </w:rPr>
        <w:t>dosavadních</w:t>
      </w:r>
      <w:r w:rsidR="00763E36" w:rsidRPr="008E1C0A">
        <w:rPr>
          <w:rFonts w:ascii="Tahoma" w:hAnsi="Tahoma" w:cs="Tahoma"/>
          <w:sz w:val="22"/>
          <w:szCs w:val="22"/>
        </w:rPr>
        <w:t xml:space="preserve"> </w:t>
      </w:r>
      <w:r w:rsidRPr="008E1C0A">
        <w:rPr>
          <w:rFonts w:ascii="Tahoma" w:hAnsi="Tahoma" w:cs="Tahoma"/>
          <w:sz w:val="22"/>
          <w:szCs w:val="22"/>
        </w:rPr>
        <w:t>licencí prodlužuje životní cyklus softwaru, čímž přispívá k udržitelnějšímu přístupu v IT, respektive ke snižování výdajů na nákup softwaru.</w:t>
      </w:r>
    </w:p>
    <w:p w14:paraId="394B016A" w14:textId="1D0835A4" w:rsidR="008E1C0A" w:rsidRPr="008E1C0A" w:rsidRDefault="008E1C0A" w:rsidP="008E1C0A">
      <w:pPr>
        <w:rPr>
          <w:rFonts w:ascii="Tahoma" w:hAnsi="Tahoma" w:cs="Tahoma"/>
          <w:sz w:val="22"/>
          <w:szCs w:val="22"/>
        </w:rPr>
      </w:pPr>
      <w:r w:rsidRPr="008E1C0A">
        <w:rPr>
          <w:rFonts w:ascii="Tahoma" w:hAnsi="Tahoma" w:cs="Tahoma"/>
          <w:sz w:val="22"/>
          <w:szCs w:val="22"/>
        </w:rPr>
        <w:t xml:space="preserve">Přechod na model </w:t>
      </w:r>
      <w:r w:rsidRPr="00203465">
        <w:rPr>
          <w:rFonts w:ascii="Tahoma" w:hAnsi="Tahoma" w:cs="Tahoma"/>
          <w:sz w:val="22"/>
          <w:szCs w:val="22"/>
        </w:rPr>
        <w:t xml:space="preserve">BYOL je pro firmy výzvou v oblasti nákupu licencí, dodržování předpisů a integrace do cloudových prostředí. Právě zde hrají důležitou roli společnosti jako </w:t>
      </w:r>
      <w:proofErr w:type="spellStart"/>
      <w:r w:rsidRPr="00203465">
        <w:rPr>
          <w:rFonts w:ascii="Tahoma" w:hAnsi="Tahoma" w:cs="Tahoma"/>
          <w:sz w:val="22"/>
          <w:szCs w:val="22"/>
        </w:rPr>
        <w:t>Forscope</w:t>
      </w:r>
      <w:proofErr w:type="spellEnd"/>
      <w:r w:rsidRPr="00203465">
        <w:rPr>
          <w:rFonts w:ascii="Tahoma" w:hAnsi="Tahoma" w:cs="Tahoma"/>
          <w:sz w:val="22"/>
          <w:szCs w:val="22"/>
        </w:rPr>
        <w:t>, které se specializují na nákup i aplikaci plně licencovaného druhotného softwaru. Tyto společnosti pomáhají klientům s optimalizací jejich IT</w:t>
      </w:r>
      <w:r w:rsidRPr="008E1C0A">
        <w:rPr>
          <w:rFonts w:ascii="Tahoma" w:hAnsi="Tahoma" w:cs="Tahoma"/>
          <w:sz w:val="22"/>
          <w:szCs w:val="22"/>
        </w:rPr>
        <w:t xml:space="preserve"> rozpočtů poskytováním nákladově efektivních trvalých softwarových licencí, </w:t>
      </w:r>
      <w:r w:rsidR="00763E36">
        <w:rPr>
          <w:rFonts w:ascii="Tahoma" w:hAnsi="Tahoma" w:cs="Tahoma"/>
          <w:sz w:val="22"/>
          <w:szCs w:val="22"/>
        </w:rPr>
        <w:t>jež</w:t>
      </w:r>
      <w:r w:rsidR="00763E36" w:rsidRPr="008E1C0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jsou v souladu s e</w:t>
      </w:r>
      <w:r w:rsidRPr="008E1C0A">
        <w:rPr>
          <w:rFonts w:ascii="Tahoma" w:hAnsi="Tahoma" w:cs="Tahoma"/>
          <w:sz w:val="22"/>
          <w:szCs w:val="22"/>
        </w:rPr>
        <w:t>vropsk</w:t>
      </w:r>
      <w:r>
        <w:rPr>
          <w:rFonts w:ascii="Tahoma" w:hAnsi="Tahoma" w:cs="Tahoma"/>
          <w:sz w:val="22"/>
          <w:szCs w:val="22"/>
        </w:rPr>
        <w:t>ými</w:t>
      </w:r>
      <w:r w:rsidRPr="008E1C0A">
        <w:rPr>
          <w:rFonts w:ascii="Tahoma" w:hAnsi="Tahoma" w:cs="Tahoma"/>
          <w:sz w:val="22"/>
          <w:szCs w:val="22"/>
        </w:rPr>
        <w:t xml:space="preserve"> předpisy.</w:t>
      </w:r>
    </w:p>
    <w:p w14:paraId="0D82105C" w14:textId="77777777" w:rsidR="008E1C0A" w:rsidRPr="008E1C0A" w:rsidRDefault="008E1C0A" w:rsidP="008E1C0A">
      <w:pPr>
        <w:rPr>
          <w:rFonts w:ascii="Tahoma" w:hAnsi="Tahoma" w:cs="Tahoma"/>
          <w:sz w:val="22"/>
          <w:szCs w:val="22"/>
        </w:rPr>
      </w:pPr>
    </w:p>
    <w:p w14:paraId="39FCDF8E" w14:textId="77777777" w:rsidR="008E1C0A" w:rsidRDefault="008E1C0A" w:rsidP="008E1C0A">
      <w:pPr>
        <w:rPr>
          <w:rFonts w:ascii="Tahoma" w:hAnsi="Tahoma" w:cs="Tahoma"/>
          <w:sz w:val="22"/>
          <w:szCs w:val="22"/>
        </w:rPr>
      </w:pPr>
    </w:p>
    <w:p w14:paraId="51BA4C86" w14:textId="5EBB91CB" w:rsidR="008E1C0A" w:rsidRPr="008E1C0A" w:rsidRDefault="008E1C0A" w:rsidP="008E1C0A">
      <w:pPr>
        <w:rPr>
          <w:rFonts w:ascii="Tahoma" w:hAnsi="Tahoma" w:cs="Tahoma"/>
          <w:sz w:val="22"/>
          <w:szCs w:val="22"/>
        </w:rPr>
      </w:pPr>
      <w:r w:rsidRPr="008E1C0A">
        <w:rPr>
          <w:rFonts w:ascii="Tahoma" w:hAnsi="Tahoma" w:cs="Tahoma"/>
          <w:sz w:val="22"/>
          <w:szCs w:val="22"/>
        </w:rPr>
        <w:t xml:space="preserve">Experti </w:t>
      </w:r>
      <w:r w:rsidR="00A73BFA">
        <w:rPr>
          <w:rFonts w:ascii="Tahoma" w:hAnsi="Tahoma" w:cs="Tahoma"/>
          <w:sz w:val="22"/>
          <w:szCs w:val="22"/>
        </w:rPr>
        <w:t xml:space="preserve">české společnosti </w:t>
      </w:r>
      <w:proofErr w:type="spellStart"/>
      <w:r w:rsidRPr="008E1C0A">
        <w:rPr>
          <w:rFonts w:ascii="Tahoma" w:hAnsi="Tahoma" w:cs="Tahoma"/>
          <w:sz w:val="22"/>
          <w:szCs w:val="22"/>
        </w:rPr>
        <w:t>Forscope</w:t>
      </w:r>
      <w:proofErr w:type="spellEnd"/>
      <w:r w:rsidRPr="008E1C0A">
        <w:rPr>
          <w:rFonts w:ascii="Tahoma" w:hAnsi="Tahoma" w:cs="Tahoma"/>
          <w:sz w:val="22"/>
          <w:szCs w:val="22"/>
        </w:rPr>
        <w:t xml:space="preserve">, </w:t>
      </w:r>
      <w:r w:rsidR="00A73BFA">
        <w:rPr>
          <w:rFonts w:ascii="Tahoma" w:hAnsi="Tahoma" w:cs="Tahoma"/>
          <w:sz w:val="22"/>
          <w:szCs w:val="22"/>
        </w:rPr>
        <w:t xml:space="preserve">největšího </w:t>
      </w:r>
      <w:r w:rsidR="004A23F2">
        <w:rPr>
          <w:rFonts w:ascii="Tahoma" w:hAnsi="Tahoma" w:cs="Tahoma"/>
          <w:sz w:val="22"/>
          <w:szCs w:val="22"/>
        </w:rPr>
        <w:t xml:space="preserve">softwarového </w:t>
      </w:r>
      <w:r w:rsidR="00A73BFA">
        <w:rPr>
          <w:rFonts w:ascii="Tahoma" w:hAnsi="Tahoma" w:cs="Tahoma"/>
          <w:sz w:val="22"/>
          <w:szCs w:val="22"/>
        </w:rPr>
        <w:t>brokera ve střední a východní Evropě</w:t>
      </w:r>
      <w:r w:rsidRPr="008E1C0A">
        <w:rPr>
          <w:rFonts w:ascii="Tahoma" w:hAnsi="Tahoma" w:cs="Tahoma"/>
          <w:sz w:val="22"/>
          <w:szCs w:val="22"/>
        </w:rPr>
        <w:t xml:space="preserve">, navíc </w:t>
      </w:r>
      <w:r>
        <w:rPr>
          <w:rFonts w:ascii="Tahoma" w:hAnsi="Tahoma" w:cs="Tahoma"/>
          <w:sz w:val="22"/>
          <w:szCs w:val="22"/>
        </w:rPr>
        <w:t xml:space="preserve">zákazníkům </w:t>
      </w:r>
      <w:r w:rsidRPr="008E1C0A">
        <w:rPr>
          <w:rFonts w:ascii="Tahoma" w:hAnsi="Tahoma" w:cs="Tahoma"/>
          <w:sz w:val="22"/>
          <w:szCs w:val="22"/>
        </w:rPr>
        <w:t>poskytují odborné vedení ohledně mobility licencí</w:t>
      </w:r>
      <w:r w:rsidR="00203465">
        <w:rPr>
          <w:rFonts w:ascii="Tahoma" w:hAnsi="Tahoma" w:cs="Tahoma"/>
          <w:sz w:val="22"/>
          <w:szCs w:val="22"/>
        </w:rPr>
        <w:t xml:space="preserve">. Tím </w:t>
      </w:r>
      <w:r w:rsidRPr="008E1C0A">
        <w:rPr>
          <w:rFonts w:ascii="Tahoma" w:hAnsi="Tahoma" w:cs="Tahoma"/>
          <w:sz w:val="22"/>
          <w:szCs w:val="22"/>
        </w:rPr>
        <w:t>zajišťují fungování firem v souladu s předpisy a zároveň optimalizují jejich cloudové výdaje.</w:t>
      </w:r>
    </w:p>
    <w:p w14:paraId="731685DF" w14:textId="77777777" w:rsidR="008E1C0A" w:rsidRPr="008E1C0A" w:rsidRDefault="008E1C0A" w:rsidP="008E1C0A">
      <w:pPr>
        <w:rPr>
          <w:rFonts w:ascii="Tahoma" w:hAnsi="Tahoma" w:cs="Tahoma"/>
          <w:sz w:val="22"/>
          <w:szCs w:val="22"/>
        </w:rPr>
      </w:pPr>
    </w:p>
    <w:p w14:paraId="76737B64" w14:textId="7CB72E94" w:rsidR="00A73BFA" w:rsidRDefault="008E1C0A" w:rsidP="6E84528A">
      <w:pPr>
        <w:rPr>
          <w:rFonts w:ascii="Tahoma" w:hAnsi="Tahoma" w:cs="Tahoma"/>
          <w:b/>
          <w:bCs/>
          <w:sz w:val="22"/>
          <w:szCs w:val="22"/>
        </w:rPr>
      </w:pPr>
      <w:r w:rsidRPr="6E84528A">
        <w:rPr>
          <w:rFonts w:ascii="Tahoma" w:hAnsi="Tahoma" w:cs="Tahoma"/>
          <w:i/>
          <w:iCs/>
          <w:sz w:val="22"/>
          <w:szCs w:val="22"/>
        </w:rPr>
        <w:t>„</w:t>
      </w:r>
      <w:r w:rsidR="00F61DFA" w:rsidRPr="6E84528A">
        <w:rPr>
          <w:rFonts w:ascii="Tahoma" w:hAnsi="Tahoma" w:cs="Tahoma"/>
          <w:i/>
          <w:iCs/>
          <w:sz w:val="22"/>
          <w:szCs w:val="22"/>
        </w:rPr>
        <w:t>B</w:t>
      </w:r>
      <w:r w:rsidRPr="6E84528A">
        <w:rPr>
          <w:rFonts w:ascii="Tahoma" w:hAnsi="Tahoma" w:cs="Tahoma"/>
          <w:i/>
          <w:iCs/>
          <w:sz w:val="22"/>
          <w:szCs w:val="22"/>
        </w:rPr>
        <w:t>YOL firmám umožňuje zachovat si provozní flexibilitu bez nadměrných výdajů na software</w:t>
      </w:r>
      <w:r w:rsidR="00A73BFA" w:rsidRPr="6E84528A">
        <w:rPr>
          <w:rFonts w:ascii="Tahoma" w:hAnsi="Tahoma" w:cs="Tahoma"/>
          <w:sz w:val="22"/>
          <w:szCs w:val="22"/>
        </w:rPr>
        <w:t xml:space="preserve">. </w:t>
      </w:r>
      <w:r w:rsidR="00A73BFA" w:rsidRPr="6E84528A">
        <w:rPr>
          <w:rFonts w:ascii="Tahoma" w:hAnsi="Tahoma" w:cs="Tahoma"/>
          <w:i/>
          <w:iCs/>
          <w:sz w:val="22"/>
          <w:szCs w:val="22"/>
        </w:rPr>
        <w:t>Nejvíce z</w:t>
      </w:r>
      <w:r w:rsidR="004A23F2" w:rsidRPr="6E84528A">
        <w:rPr>
          <w:rFonts w:ascii="Tahoma" w:hAnsi="Tahoma" w:cs="Tahoma"/>
          <w:i/>
          <w:iCs/>
          <w:sz w:val="22"/>
          <w:szCs w:val="22"/>
        </w:rPr>
        <w:t xml:space="preserve"> tohoto modelu mohou </w:t>
      </w:r>
      <w:r w:rsidR="00A73BFA" w:rsidRPr="6E84528A">
        <w:rPr>
          <w:rFonts w:ascii="Tahoma" w:hAnsi="Tahoma" w:cs="Tahoma"/>
          <w:i/>
          <w:iCs/>
          <w:sz w:val="22"/>
          <w:szCs w:val="22"/>
        </w:rPr>
        <w:t>těžit organizace, ve kterých IT náklady hrají klíčovou roli v jejich ziskovosti,“</w:t>
      </w:r>
      <w:r w:rsidRPr="6E84528A">
        <w:rPr>
          <w:rFonts w:ascii="Tahoma" w:hAnsi="Tahoma" w:cs="Tahoma"/>
          <w:sz w:val="22"/>
          <w:szCs w:val="22"/>
        </w:rPr>
        <w:t xml:space="preserve"> říká </w:t>
      </w:r>
      <w:r w:rsidRPr="6E84528A">
        <w:rPr>
          <w:rFonts w:ascii="Tahoma" w:hAnsi="Tahoma" w:cs="Tahoma"/>
          <w:b/>
          <w:bCs/>
          <w:sz w:val="22"/>
          <w:szCs w:val="22"/>
        </w:rPr>
        <w:t xml:space="preserve">Jakub Šulák, generální ředitel společnosti </w:t>
      </w:r>
      <w:proofErr w:type="spellStart"/>
      <w:r w:rsidRPr="6E84528A">
        <w:rPr>
          <w:rFonts w:ascii="Tahoma" w:hAnsi="Tahoma" w:cs="Tahoma"/>
          <w:b/>
          <w:bCs/>
          <w:sz w:val="22"/>
          <w:szCs w:val="22"/>
        </w:rPr>
        <w:t>Forscope</w:t>
      </w:r>
      <w:proofErr w:type="spellEnd"/>
      <w:r w:rsidRPr="6E84528A">
        <w:rPr>
          <w:rFonts w:ascii="Tahoma" w:hAnsi="Tahoma" w:cs="Tahoma"/>
          <w:sz w:val="22"/>
          <w:szCs w:val="22"/>
        </w:rPr>
        <w:t>.</w:t>
      </w:r>
    </w:p>
    <w:p w14:paraId="373E7E1D" w14:textId="77777777" w:rsidR="00A73BFA" w:rsidRDefault="00A73BFA" w:rsidP="002C6A89">
      <w:pPr>
        <w:rPr>
          <w:rFonts w:ascii="Tahoma" w:hAnsi="Tahoma" w:cs="Tahoma"/>
          <w:sz w:val="22"/>
          <w:szCs w:val="22"/>
        </w:rPr>
      </w:pPr>
    </w:p>
    <w:p w14:paraId="6BDB748C" w14:textId="77777777" w:rsidR="00203465" w:rsidRDefault="00203465" w:rsidP="002C6A89">
      <w:pPr>
        <w:rPr>
          <w:rFonts w:ascii="Tahoma" w:hAnsi="Tahoma" w:cs="Tahoma"/>
          <w:sz w:val="22"/>
          <w:szCs w:val="22"/>
        </w:rPr>
      </w:pPr>
    </w:p>
    <w:p w14:paraId="474C7CF1" w14:textId="77777777" w:rsidR="00203465" w:rsidRDefault="00203465" w:rsidP="002C6A89">
      <w:pPr>
        <w:rPr>
          <w:rFonts w:ascii="Tahoma" w:hAnsi="Tahoma" w:cs="Tahoma"/>
          <w:sz w:val="22"/>
          <w:szCs w:val="22"/>
        </w:rPr>
      </w:pPr>
    </w:p>
    <w:p w14:paraId="04726D64" w14:textId="4DB65498" w:rsidR="00203465" w:rsidRDefault="1DFCC20F" w:rsidP="6E84528A">
      <w:pPr>
        <w:jc w:val="center"/>
        <w:rPr>
          <w:rFonts w:ascii="Tahoma" w:hAnsi="Tahoma" w:cs="Tahoma"/>
          <w:sz w:val="22"/>
          <w:szCs w:val="22"/>
        </w:rPr>
      </w:pPr>
      <w:r w:rsidRPr="6E84528A">
        <w:rPr>
          <w:rFonts w:ascii="Tahoma" w:hAnsi="Tahoma" w:cs="Tahoma"/>
          <w:sz w:val="22"/>
          <w:szCs w:val="22"/>
        </w:rPr>
        <w:t>-----</w:t>
      </w:r>
    </w:p>
    <w:p w14:paraId="3DB984B4" w14:textId="77777777" w:rsidR="00A73BFA" w:rsidRDefault="00A73BFA" w:rsidP="002C6A89">
      <w:pPr>
        <w:rPr>
          <w:rFonts w:ascii="Tahoma" w:hAnsi="Tahoma" w:cs="Tahoma"/>
          <w:sz w:val="22"/>
          <w:szCs w:val="22"/>
        </w:rPr>
      </w:pPr>
    </w:p>
    <w:p w14:paraId="7664A47D" w14:textId="77777777" w:rsidR="00203465" w:rsidRDefault="00203465" w:rsidP="004F0463">
      <w:pPr>
        <w:jc w:val="both"/>
        <w:rPr>
          <w:rFonts w:ascii="Tahoma" w:hAnsi="Tahoma" w:cs="Tahoma"/>
          <w:sz w:val="22"/>
          <w:szCs w:val="22"/>
        </w:rPr>
      </w:pPr>
    </w:p>
    <w:p w14:paraId="474DE537" w14:textId="77777777" w:rsidR="00203465" w:rsidRDefault="00203465" w:rsidP="004F0463">
      <w:pPr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</w:pPr>
    </w:p>
    <w:p w14:paraId="1831D771" w14:textId="78026001" w:rsidR="004F0463" w:rsidRPr="00D97495" w:rsidRDefault="00DE0C38" w:rsidP="004F0463">
      <w:pPr>
        <w:jc w:val="both"/>
        <w:rPr>
          <w:rFonts w:ascii="Tahoma" w:eastAsia="Times New Roman" w:hAnsi="Tahoma" w:cs="Tahoma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O</w:t>
      </w:r>
      <w:r w:rsidR="004F0463"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 xml:space="preserve"> </w:t>
      </w:r>
      <w:proofErr w:type="spellStart"/>
      <w:r w:rsidR="004F0463"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Forscope</w:t>
      </w:r>
      <w:proofErr w:type="spellEnd"/>
    </w:p>
    <w:p w14:paraId="6AED4333" w14:textId="220A97F8" w:rsidR="004A2A87" w:rsidRPr="00D97495" w:rsidRDefault="00DE0C38" w:rsidP="00DE0C38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Forscope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, největší softwarový broker ve střední a východní Evropě, nabízí plně licencovaná softwarová řešení prostřednictvím inovativního, nákladově efektivního modelu akvizice společnostem všech velikostí i veřejným institucím. Kromě toho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firma</w:t>
      </w:r>
      <w:r w:rsidR="00763E36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dodává komplexní balíček služeb včetně technické podpory, licenčního a právního poradenství.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Forscope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se sídlem v České republice působí v dalších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devíti</w:t>
      </w:r>
      <w:r w:rsidR="00763E36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zemích střední a východní Evropy.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Je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certifikovaným partnerem společnosti Microsoft a je držitelem certifikací ISO 9001:2015 a ISO 27001.</w:t>
      </w: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61C8AD75" w14:textId="0B74C3D0" w:rsidR="00582C0D" w:rsidRPr="00D97495" w:rsidRDefault="006E7A6A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7" w:history="1">
        <w:proofErr w:type="gramStart"/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Web</w:t>
        </w:r>
        <w:proofErr w:type="gramEnd"/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8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9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textovodkaz"/>
            <w:rFonts w:ascii="Tahoma" w:hAnsi="Tahoma" w:cs="Tahoma"/>
            <w:sz w:val="20"/>
            <w:szCs w:val="20"/>
          </w:rPr>
          <w:t>k</w:t>
        </w:r>
      </w:hyperlink>
    </w:p>
    <w:p w14:paraId="7FE620F3" w14:textId="77777777" w:rsidR="00F92A2A" w:rsidRPr="00D97495" w:rsidRDefault="00F92A2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6CC31898" w14:textId="77B6E57E" w:rsidR="6E84528A" w:rsidRDefault="6E84528A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083DAF1B" w14:textId="46B5EF4E" w:rsidR="6E84528A" w:rsidRDefault="6E84528A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33C207F3" w14:textId="21AE299F" w:rsidR="6E84528A" w:rsidRDefault="6E84528A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6FC572F2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6025D351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0434C836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02C56952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6A74256E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3F919108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15D980C2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6B3CECA4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4BF3E5FE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19ED0CEC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738C2E6D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57F62F1D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60D55942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483559BD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10B662DE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2F7DFA2E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2F1A589F" w14:textId="77777777" w:rsidR="002F1AA4" w:rsidRDefault="002F1AA4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5F530729" w14:textId="2894B473" w:rsidR="6E84528A" w:rsidRDefault="6E84528A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10D77C2A" w14:textId="5BA1832A" w:rsidR="6E84528A" w:rsidRDefault="6E84528A" w:rsidP="6E84528A">
      <w:pPr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Petra Losertová / Phoenix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Communication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0" w:history="1"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57B3" w14:textId="77777777" w:rsidR="00C32D33" w:rsidRDefault="00C32D33" w:rsidP="004F0463">
      <w:r>
        <w:separator/>
      </w:r>
    </w:p>
  </w:endnote>
  <w:endnote w:type="continuationSeparator" w:id="0">
    <w:p w14:paraId="714F13F5" w14:textId="77777777" w:rsidR="00C32D33" w:rsidRDefault="00C32D33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C802" w14:textId="77777777" w:rsidR="00C32D33" w:rsidRDefault="00C32D33" w:rsidP="004F0463">
      <w:r>
        <w:separator/>
      </w:r>
    </w:p>
  </w:footnote>
  <w:footnote w:type="continuationSeparator" w:id="0">
    <w:p w14:paraId="3930EE31" w14:textId="77777777" w:rsidR="00C32D33" w:rsidRDefault="00C32D33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Zhlav"/>
      <w:jc w:val="center"/>
    </w:pPr>
    <w:r>
      <w:rPr>
        <w:noProof/>
      </w:rPr>
      <w:drawing>
        <wp:inline distT="0" distB="0" distL="0" distR="0" wp14:anchorId="00644A29" wp14:editId="67304CB7">
          <wp:extent cx="1701478" cy="850739"/>
          <wp:effectExtent l="0" t="0" r="635" b="635"/>
          <wp:docPr id="1563998173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19" cy="89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93952">
    <w:abstractNumId w:val="1"/>
  </w:num>
  <w:num w:numId="2" w16cid:durableId="936014110">
    <w:abstractNumId w:val="4"/>
  </w:num>
  <w:num w:numId="3" w16cid:durableId="1291859499">
    <w:abstractNumId w:val="2"/>
  </w:num>
  <w:num w:numId="4" w16cid:durableId="1957329107">
    <w:abstractNumId w:val="5"/>
  </w:num>
  <w:num w:numId="5" w16cid:durableId="1638023334">
    <w:abstractNumId w:val="3"/>
  </w:num>
  <w:num w:numId="6" w16cid:durableId="12702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212BF"/>
    <w:rsid w:val="00036DAF"/>
    <w:rsid w:val="00065879"/>
    <w:rsid w:val="000A2A76"/>
    <w:rsid w:val="000E46F9"/>
    <w:rsid w:val="0011615D"/>
    <w:rsid w:val="00203465"/>
    <w:rsid w:val="00214A06"/>
    <w:rsid w:val="00231352"/>
    <w:rsid w:val="00236975"/>
    <w:rsid w:val="00244C35"/>
    <w:rsid w:val="00261A7C"/>
    <w:rsid w:val="00271B13"/>
    <w:rsid w:val="002A20D8"/>
    <w:rsid w:val="002B4CAB"/>
    <w:rsid w:val="002B7AC4"/>
    <w:rsid w:val="002C6A89"/>
    <w:rsid w:val="002C713E"/>
    <w:rsid w:val="002F1AA4"/>
    <w:rsid w:val="002F47B8"/>
    <w:rsid w:val="00343278"/>
    <w:rsid w:val="00345CF3"/>
    <w:rsid w:val="003745BA"/>
    <w:rsid w:val="0039419B"/>
    <w:rsid w:val="0040654B"/>
    <w:rsid w:val="00443EE8"/>
    <w:rsid w:val="004538A3"/>
    <w:rsid w:val="00494368"/>
    <w:rsid w:val="004A23F2"/>
    <w:rsid w:val="004A2A87"/>
    <w:rsid w:val="004A7728"/>
    <w:rsid w:val="004C266B"/>
    <w:rsid w:val="004F0463"/>
    <w:rsid w:val="00512C11"/>
    <w:rsid w:val="00536EBF"/>
    <w:rsid w:val="00537FBD"/>
    <w:rsid w:val="005633A0"/>
    <w:rsid w:val="005738E5"/>
    <w:rsid w:val="00582C0D"/>
    <w:rsid w:val="005D7222"/>
    <w:rsid w:val="005F4BB0"/>
    <w:rsid w:val="00674CEC"/>
    <w:rsid w:val="006A73B3"/>
    <w:rsid w:val="006D7FA4"/>
    <w:rsid w:val="006E7A6A"/>
    <w:rsid w:val="007013EC"/>
    <w:rsid w:val="00763E36"/>
    <w:rsid w:val="0078178E"/>
    <w:rsid w:val="007B169F"/>
    <w:rsid w:val="007B62B7"/>
    <w:rsid w:val="007D0A78"/>
    <w:rsid w:val="007D7EE8"/>
    <w:rsid w:val="008127C4"/>
    <w:rsid w:val="008274AF"/>
    <w:rsid w:val="008438F7"/>
    <w:rsid w:val="008852F3"/>
    <w:rsid w:val="00887E3A"/>
    <w:rsid w:val="008B7F29"/>
    <w:rsid w:val="008C67C6"/>
    <w:rsid w:val="008D7155"/>
    <w:rsid w:val="008E1C0A"/>
    <w:rsid w:val="008F2ED8"/>
    <w:rsid w:val="00916018"/>
    <w:rsid w:val="0093778B"/>
    <w:rsid w:val="009637D0"/>
    <w:rsid w:val="009679AF"/>
    <w:rsid w:val="009A31DD"/>
    <w:rsid w:val="009F4136"/>
    <w:rsid w:val="00A1437A"/>
    <w:rsid w:val="00A23C89"/>
    <w:rsid w:val="00A37855"/>
    <w:rsid w:val="00A56738"/>
    <w:rsid w:val="00A73BFA"/>
    <w:rsid w:val="00A8196B"/>
    <w:rsid w:val="00AD13F3"/>
    <w:rsid w:val="00AE1EB1"/>
    <w:rsid w:val="00AF7C31"/>
    <w:rsid w:val="00B24542"/>
    <w:rsid w:val="00B4147D"/>
    <w:rsid w:val="00B5425F"/>
    <w:rsid w:val="00BA2CE8"/>
    <w:rsid w:val="00BF7B79"/>
    <w:rsid w:val="00C20748"/>
    <w:rsid w:val="00C228D4"/>
    <w:rsid w:val="00C2409E"/>
    <w:rsid w:val="00C32D33"/>
    <w:rsid w:val="00C34E51"/>
    <w:rsid w:val="00C56306"/>
    <w:rsid w:val="00C6189C"/>
    <w:rsid w:val="00C644F7"/>
    <w:rsid w:val="00C75C3F"/>
    <w:rsid w:val="00CA54F3"/>
    <w:rsid w:val="00CD101F"/>
    <w:rsid w:val="00D62EB6"/>
    <w:rsid w:val="00D97495"/>
    <w:rsid w:val="00DA1B0D"/>
    <w:rsid w:val="00DA2D93"/>
    <w:rsid w:val="00DE0C38"/>
    <w:rsid w:val="00E21868"/>
    <w:rsid w:val="00E27978"/>
    <w:rsid w:val="00E36C78"/>
    <w:rsid w:val="00E95A41"/>
    <w:rsid w:val="00F0341B"/>
    <w:rsid w:val="00F35850"/>
    <w:rsid w:val="00F3721E"/>
    <w:rsid w:val="00F46C8D"/>
    <w:rsid w:val="00F55415"/>
    <w:rsid w:val="00F61DFA"/>
    <w:rsid w:val="00F92A2A"/>
    <w:rsid w:val="00FB7531"/>
    <w:rsid w:val="0328FB7B"/>
    <w:rsid w:val="1DFCC20F"/>
    <w:rsid w:val="1F47EB21"/>
    <w:rsid w:val="3AD361A6"/>
    <w:rsid w:val="67EE1CC2"/>
    <w:rsid w:val="6E8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C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C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4C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C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463"/>
  </w:style>
  <w:style w:type="paragraph" w:styleId="Zpat">
    <w:name w:val="footer"/>
    <w:basedOn w:val="Normln"/>
    <w:link w:val="Zpat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463"/>
  </w:style>
  <w:style w:type="character" w:styleId="Hypertextovodkaz">
    <w:name w:val="Hyperlink"/>
    <w:basedOn w:val="Standardnpsmoodstavce"/>
    <w:uiPriority w:val="99"/>
    <w:unhideWhenUsed/>
    <w:rsid w:val="00214A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41B"/>
  </w:style>
  <w:style w:type="character" w:styleId="Sledovanodkaz">
    <w:name w:val="FollowedHyperlink"/>
    <w:basedOn w:val="Standardnpsmoodstavce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E1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1C0A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orscope/posts/?feedView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scope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rsco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Gidei</dc:creator>
  <cp:keywords/>
  <dc:description/>
  <cp:lastModifiedBy>Petra Losertová | PHOENIXCOM</cp:lastModifiedBy>
  <cp:revision>4</cp:revision>
  <dcterms:created xsi:type="dcterms:W3CDTF">2025-03-24T13:25:00Z</dcterms:created>
  <dcterms:modified xsi:type="dcterms:W3CDTF">2025-03-24T13:47:00Z</dcterms:modified>
</cp:coreProperties>
</file>