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AD7B" w14:textId="508FC055" w:rsidR="00E4385B" w:rsidRPr="00E4385B" w:rsidRDefault="00E4385B" w:rsidP="00E4385B">
      <w:pPr>
        <w:spacing w:after="160" w:line="259" w:lineRule="auto"/>
        <w:jc w:val="both"/>
        <w:rPr>
          <w:rFonts w:ascii="STIHL Contraface Text" w:hAnsi="STIHL Contraface Text"/>
          <w:b/>
          <w:bCs/>
          <w:color w:val="000000"/>
          <w:sz w:val="32"/>
          <w:szCs w:val="16"/>
        </w:rPr>
      </w:pPr>
      <w:r w:rsidRPr="00E4385B">
        <w:rPr>
          <w:rFonts w:ascii="STIHL Contraface Text" w:hAnsi="STIHL Contraface Text"/>
          <w:b/>
          <w:bCs/>
          <w:color w:val="000000"/>
          <w:sz w:val="32"/>
          <w:szCs w:val="16"/>
        </w:rPr>
        <w:t xml:space="preserve">Startuje nová sezóna dřevorubeckých závodů – </w:t>
      </w:r>
      <w:r w:rsidR="00C56C9D" w:rsidRPr="002722F4">
        <w:rPr>
          <w:rFonts w:ascii="STIHL Contraface Text" w:hAnsi="STIHL Contraface Text"/>
          <w:b/>
          <w:bCs/>
          <w:color w:val="000000"/>
          <w:sz w:val="32"/>
          <w:szCs w:val="16"/>
        </w:rPr>
        <w:t>v roce stoletého výročí motorové pily</w:t>
      </w:r>
      <w:r w:rsidRPr="00E4385B">
        <w:rPr>
          <w:rFonts w:ascii="STIHL Contraface Text" w:hAnsi="STIHL Contraface Text"/>
          <w:b/>
          <w:bCs/>
          <w:color w:val="000000"/>
          <w:sz w:val="32"/>
          <w:szCs w:val="16"/>
        </w:rPr>
        <w:t xml:space="preserve"> </w:t>
      </w:r>
    </w:p>
    <w:p w14:paraId="2C98226C" w14:textId="7D732F20" w:rsidR="00E4385B" w:rsidRPr="00E4385B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sz w:val="22"/>
          <w:szCs w:val="22"/>
          <w:lang w:eastAsia="en-US"/>
        </w:rPr>
        <w:t xml:space="preserve">Brno, </w:t>
      </w:r>
      <w:r w:rsidR="0070514E">
        <w:rPr>
          <w:rFonts w:ascii="STIHL Contraface Text" w:eastAsia="Calibri" w:hAnsi="STIHL Contraface Text"/>
          <w:sz w:val="22"/>
          <w:szCs w:val="22"/>
          <w:lang w:eastAsia="en-US"/>
        </w:rPr>
        <w:t>1</w:t>
      </w:r>
      <w:r w:rsidR="00AD3B44">
        <w:rPr>
          <w:rFonts w:ascii="STIHL Contraface Text" w:eastAsia="Calibri" w:hAnsi="STIHL Contraface Text"/>
          <w:sz w:val="22"/>
          <w:szCs w:val="22"/>
          <w:lang w:eastAsia="en-US"/>
        </w:rPr>
        <w:t>8</w:t>
      </w:r>
      <w:r w:rsidRPr="002722F4">
        <w:rPr>
          <w:rFonts w:ascii="STIHL Contraface Text" w:eastAsia="Calibri" w:hAnsi="STIHL Contraface Text"/>
          <w:sz w:val="22"/>
          <w:szCs w:val="22"/>
          <w:lang w:eastAsia="en-US"/>
        </w:rPr>
        <w:t xml:space="preserve">. března </w:t>
      </w:r>
      <w:proofErr w:type="gramStart"/>
      <w:r w:rsidRPr="002722F4">
        <w:rPr>
          <w:rFonts w:ascii="STIHL Contraface Text" w:eastAsia="Calibri" w:hAnsi="STIHL Contraface Text"/>
          <w:sz w:val="22"/>
          <w:szCs w:val="22"/>
          <w:lang w:eastAsia="en-US"/>
        </w:rPr>
        <w:t>2026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–</w:t>
      </w:r>
      <w:r w:rsidRPr="00E4385B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I</w:t>
      </w:r>
      <w:proofErr w:type="gramEnd"/>
      <w:r w:rsidRPr="00E4385B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tento rok se můžete těšit na závody STIHL TIMBERSPORTS® </w:t>
      </w:r>
      <w:proofErr w:type="spellStart"/>
      <w:r w:rsidRPr="00E4385B">
        <w:rPr>
          <w:rFonts w:ascii="STIHL Contraface Text" w:eastAsia="Calibri" w:hAnsi="STIHL Contraface Text"/>
          <w:b/>
          <w:sz w:val="22"/>
          <w:szCs w:val="22"/>
          <w:lang w:eastAsia="en-US"/>
        </w:rPr>
        <w:t>Series</w:t>
      </w:r>
      <w:proofErr w:type="spellEnd"/>
      <w:r w:rsidRPr="00E4385B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. Úvodní 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kvalifikace se uskuteční již za měsíc. 12. dubna bude možné tuto nevšední podívanou shlédnout na brněnském výstavišti v rámci </w:t>
      </w:r>
      <w:proofErr w:type="spellStart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Agrishow</w:t>
      </w:r>
      <w:proofErr w:type="spellEnd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202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6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. Tradiční 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kvalifikace proběhnou ve 4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disciplínách – 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2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se sekerami (</w:t>
      </w:r>
      <w:proofErr w:type="spellStart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Underhand</w:t>
      </w:r>
      <w:proofErr w:type="spellEnd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Chop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a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proofErr w:type="spellStart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Standing</w:t>
      </w:r>
      <w:proofErr w:type="spellEnd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proofErr w:type="spellStart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Block</w:t>
      </w:r>
      <w:proofErr w:type="spellEnd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r w:rsidR="002722F4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Chop)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a 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2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s pilou (</w:t>
      </w:r>
      <w:proofErr w:type="spellStart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Stock</w:t>
      </w:r>
      <w:proofErr w:type="spellEnd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proofErr w:type="spellStart"/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Saw</w:t>
      </w:r>
      <w:proofErr w:type="spellEnd"/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a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Single Buck) – určí ve dvou kolech účastníky Mistrovství České republiky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. To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se uskuteční 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27.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 červn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a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2026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a budou na něm k vidění i královské disciplíny </w:t>
      </w:r>
      <w:proofErr w:type="spellStart"/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Springboard</w:t>
      </w:r>
      <w:proofErr w:type="spellEnd"/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– přesekávání kmene z prkna ve výšce a Hot </w:t>
      </w:r>
      <w:proofErr w:type="spellStart"/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Saw</w:t>
      </w:r>
      <w:proofErr w:type="spellEnd"/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– řezání motorovou pilou bez omezení výkonu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. Začátku </w:t>
      </w:r>
      <w:r w:rsidR="00CC38BC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závodní 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sezóny každoročně předcházejí měsíce plánování a 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příprav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, k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dyž soutěžní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dřev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o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už dávno odpočívá připravené 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dle </w:t>
      </w:r>
      <w:r w:rsidR="00C56C9D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jasně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stanovených pravidel.</w:t>
      </w:r>
    </w:p>
    <w:p w14:paraId="636D61CC" w14:textId="46E3CA72" w:rsidR="00E4385B" w:rsidRPr="00E4385B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Dřevorubecký sport má více než 150letou tradici a je často označován jako „původní extrémní sport“. Jak se lesnictví přeměnilo ve sport, nikdo přesně neví. Podle jedné verze se počátky datují rokem 1870, kdy se v tasmánském </w:t>
      </w:r>
      <w:proofErr w:type="spellStart"/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>Ulverstone</w:t>
      </w:r>
      <w:proofErr w:type="spellEnd"/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vsadili dva dřevorubci při kácení stromů o 25 liber. Moderní éru každopádně odstartovala v roce 1985 společnost STIHL ve spolupráci se sportovním kanálem ESPN. V USA tak byly zahájeny závody STIHL TIMBERSPORTS® </w:t>
      </w:r>
      <w:proofErr w:type="spellStart"/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>Series</w:t>
      </w:r>
      <w:proofErr w:type="spellEnd"/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, která je považována za největší událost v tomto sportu. Do Evropy přišla v roce 2001 a v roce 2004 se konal první závod v ČR. </w:t>
      </w:r>
    </w:p>
    <w:p w14:paraId="393FD74B" w14:textId="77777777" w:rsidR="0070514E" w:rsidRDefault="0070514E" w:rsidP="00E4385B">
      <w:pPr>
        <w:spacing w:after="160" w:line="259" w:lineRule="auto"/>
        <w:jc w:val="both"/>
        <w:rPr>
          <w:rFonts w:ascii="STIHL Contraface Text" w:eastAsia="Calibri" w:hAnsi="STIHL Contraface Text"/>
          <w:b/>
          <w:sz w:val="22"/>
          <w:szCs w:val="22"/>
          <w:lang w:eastAsia="en-US"/>
        </w:rPr>
      </w:pPr>
    </w:p>
    <w:p w14:paraId="764DC3C5" w14:textId="6ABB9494" w:rsidR="00E4385B" w:rsidRPr="00E4385B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/>
          <w:sz w:val="22"/>
          <w:szCs w:val="22"/>
          <w:lang w:eastAsia="en-US"/>
        </w:rPr>
      </w:pPr>
      <w:r w:rsidRPr="00E4385B">
        <w:rPr>
          <w:rFonts w:ascii="STIHL Contraface Text" w:eastAsia="Calibri" w:hAnsi="STIHL Contraface Text"/>
          <w:b/>
          <w:sz w:val="22"/>
          <w:szCs w:val="22"/>
          <w:lang w:eastAsia="en-US"/>
        </w:rPr>
        <w:t>Topol a borovice</w:t>
      </w:r>
      <w:r w:rsidR="00C56C9D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</w:p>
    <w:p w14:paraId="205C55A7" w14:textId="545402AB" w:rsidR="00E4385B" w:rsidRPr="002722F4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S přípravou závodů se začíná </w:t>
      </w:r>
      <w:r w:rsidR="00C56C9D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vlastně </w:t>
      </w:r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hned po skončení uplynulé sezóny, tedy rok předem. Prvním krokem je výběr lokality vhodné pro závody. Ovšem časově nejnáročnější je </w:t>
      </w:r>
      <w:r w:rsidR="00C56C9D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asi </w:t>
      </w:r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zajištění závodního dřeva pro celou sezónu tak, aby všichni měli rovné podmínky. Záleží přitom i na typu závodu. První úrovní jsou národní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kvalifikace, pro které je dřevo připrav</w:t>
      </w:r>
      <w:r w:rsidR="00C56C9D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ováno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a zpracováváno z těžby v jeden čas, v jedné lokalitě v České republice.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Druhou úrovní jsou jednotlivá </w:t>
      </w:r>
      <w:r w:rsidR="00C56C9D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evropská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národní mistrovství. Na t</w:t>
      </w:r>
      <w:r w:rsidR="00CC38BC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a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je z důvodu porovnávání časů v rámci evropského žebříčku dřevo připravováno centrálně pro celou Evropu. A třetí kategorií je mistrovství světa, pro které je dříví připravováno opět centrálně</w:t>
      </w:r>
      <w:r w:rsidR="00C56C9D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a vybíráno tak, aby světová série mohla nabídnout ty nejlepší výkony.</w:t>
      </w:r>
    </w:p>
    <w:p w14:paraId="67046037" w14:textId="66F54742" w:rsidR="00AA136B" w:rsidRPr="002722F4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Při soutěžích </w:t>
      </w:r>
      <w:r w:rsidR="00CC38BC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STIHL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TIMBERSPORTS® v ČR se standardně pro </w:t>
      </w:r>
      <w:r w:rsidR="00C56C9D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většinu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disciplín používá topol černý, pouze pro disciplínu single</w:t>
      </w:r>
      <w:r w:rsidR="00C56C9D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</w:t>
      </w:r>
      <w:proofErr w:type="spellStart"/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b</w:t>
      </w:r>
      <w:r w:rsidR="00C56C9D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u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ck</w:t>
      </w:r>
      <w:proofErr w:type="spellEnd"/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(řezání ruční pilou) je to borovice vejmutovka. Musí jít o zdravé stromy s vysokou vlhkostí, splňující parametry pro zpracování do soutěžních bloků. K tomu se používají frézy, které o</w:t>
      </w:r>
      <w:r w:rsidR="00CC38BC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prac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ují blok na předepsaný průměr (27 až 46 cm podle disciplíny).</w:t>
      </w:r>
      <w:r w:rsidR="00CC38BC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Ten je n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ásledně ve skladu zabalen ve fóli</w:t>
      </w:r>
      <w:r w:rsidR="00CC38BC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i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tak, aby neztrácel vlhkost. Takto musí být </w:t>
      </w:r>
      <w:r w:rsidR="00CC38BC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dřevo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připraveno minimálně čtvrt roku před první</w:t>
      </w:r>
      <w:r w:rsidR="00CC38BC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kvalifikací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, aby se jeho kvalita nelišila závod od závodu. Pokud dřevo po opracování nesplní parametry, je vyřazeno a použito pro trénink.</w:t>
      </w:r>
    </w:p>
    <w:p w14:paraId="52F0698B" w14:textId="77777777" w:rsidR="00AA136B" w:rsidRPr="002722F4" w:rsidRDefault="00AA136B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</w:p>
    <w:p w14:paraId="12B088F1" w14:textId="77777777" w:rsidR="00E4385B" w:rsidRPr="002722F4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Dřevo během závodu</w:t>
      </w:r>
    </w:p>
    <w:p w14:paraId="5BF1AF45" w14:textId="04CA5F85" w:rsidR="00E4385B" w:rsidRPr="002722F4" w:rsidRDefault="00CC38BC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>„</w:t>
      </w:r>
      <w:r w:rsidR="00E4385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>Na rovné podmínky pro všechny účastníky dohlíží</w:t>
      </w:r>
      <w:r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>me</w:t>
      </w:r>
      <w:r w:rsidR="00E4385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 i po převozu dřeva na místo závodu, kde je očíslováno a připraveno pro </w:t>
      </w:r>
      <w:r w:rsidR="00AA136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spravedlivé </w:t>
      </w:r>
      <w:r w:rsidR="00E4385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>rozlosování</w:t>
      </w:r>
      <w:r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>,“</w:t>
      </w:r>
      <w:r w:rsidR="00E4385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přibližuje </w:t>
      </w:r>
      <w:r w:rsidR="00AA136B"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country manager české série STIHL TIMBERSPORTS</w:t>
      </w: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 xml:space="preserve"> Jan Brabec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a dodává: </w:t>
      </w:r>
      <w:r w:rsidR="00E4385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„Závodníci si mohou vylosované bloky prohlédnout a </w:t>
      </w:r>
      <w:r w:rsidR="00AA136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případně </w:t>
      </w:r>
      <w:r w:rsidR="00E4385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požádat o výměnu, pokud objeví vadu, jako je například suk. Tato žádost je </w:t>
      </w:r>
      <w:r w:rsidR="00AA136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podle pravidel </w:t>
      </w:r>
      <w:r w:rsidR="00E4385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>ale nevratná, takže se nesmí vrátit od</w:t>
      </w:r>
      <w:r w:rsidR="00E4385B" w:rsidRPr="00E4385B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 </w:t>
      </w:r>
      <w:r w:rsidR="00E4385B" w:rsidRPr="002722F4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lastRenderedPageBreak/>
        <w:t>náhradního bloku zpět k tomu prvnímu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.“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Mimořádnou kontrolu 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kvality dřeva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po každém soutěžním pokusu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pak organizační tým věnuje borovic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ovým blokům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pro single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</w:t>
      </w:r>
      <w:proofErr w:type="spellStart"/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b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u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ck</w:t>
      </w:r>
      <w:proofErr w:type="spellEnd"/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, kde </w:t>
      </w:r>
      <w:r w:rsidR="00B86F3A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může výskyt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zarostlých suků, 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nečistot či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přeslenů ve dřevě 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nejen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zhoršit závodníkův čas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, ale hlavně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poškodit broušení 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téměř dva metry dlouhé závodní ruční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pily.</w:t>
      </w:r>
    </w:p>
    <w:p w14:paraId="61DDD8CF" w14:textId="5AD150E6" w:rsidR="00E4385B" w:rsidRPr="002722F4" w:rsidRDefault="00B86F3A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P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řed startem 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disciplíny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Underhand Chop probíhá finální úprava bloku tak, že si závodníci připravují nášlapy tzv. </w:t>
      </w:r>
      <w:proofErr w:type="spellStart"/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f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oot</w:t>
      </w:r>
      <w:proofErr w:type="spellEnd"/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</w:t>
      </w:r>
      <w:proofErr w:type="spellStart"/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holds</w:t>
      </w:r>
      <w:proofErr w:type="spellEnd"/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, na kterých stojí. Rozhodčí přitom dohlížejí na to, aby nedocházelo k nepovoleným vrypům v místech, kde se bude sekat, a aby s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i závodníci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našroubovaly do hran šrouby proti 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prvním sekům zabraňujícím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vylomení. Před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ejdou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tím 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tak 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případné diskvalifikaci </w:t>
      </w:r>
      <w:r w:rsidR="00AA136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za vylomení bloku</w:t>
      </w:r>
      <w:r w:rsidR="00E4385B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.</w:t>
      </w:r>
    </w:p>
    <w:p w14:paraId="5B3822CE" w14:textId="77777777" w:rsidR="0070514E" w:rsidRDefault="0070514E" w:rsidP="00E4385B">
      <w:pPr>
        <w:spacing w:after="160" w:line="259" w:lineRule="auto"/>
        <w:jc w:val="both"/>
        <w:rPr>
          <w:rFonts w:ascii="STIHL Contraface Text" w:eastAsia="Calibri" w:hAnsi="STIHL Contraface Text"/>
          <w:b/>
          <w:sz w:val="22"/>
          <w:szCs w:val="22"/>
          <w:lang w:eastAsia="en-US"/>
        </w:rPr>
      </w:pPr>
    </w:p>
    <w:p w14:paraId="16D368E0" w14:textId="62BF2D42" w:rsidR="00E4385B" w:rsidRPr="002722F4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b/>
          <w:sz w:val="22"/>
          <w:szCs w:val="22"/>
          <w:lang w:eastAsia="en-US"/>
        </w:rPr>
        <w:t>Mezinárodní soutěže</w:t>
      </w:r>
    </w:p>
    <w:p w14:paraId="476B0D86" w14:textId="5B272BE7" w:rsidR="00E4385B" w:rsidRPr="002722F4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V mezinárodních soutěžích </w:t>
      </w:r>
      <w:r w:rsidR="00B86F3A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STIHL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TIMBERSPORTS® se také používá především topolové dřevo, ovšem z Belgie a Nizozemska. Tyto rychle rostoucí stromy pocházejí z plantáží s certifikátem FSC a jsou vysazovány, ošetřovány a káceny za udržitelných podmínek. Plantáže mohou být v následujících letech znovu využity jako orná půda. To znamená, že stávající lesy nejsou poškozeny a využitelné plochy jsou chráněny.</w:t>
      </w:r>
    </w:p>
    <w:p w14:paraId="70F2B7B3" w14:textId="1B14480D" w:rsidR="00E4385B" w:rsidRPr="00E4385B" w:rsidRDefault="00E4385B" w:rsidP="00E4385B">
      <w:pPr>
        <w:spacing w:after="160" w:line="259" w:lineRule="auto"/>
        <w:jc w:val="both"/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</w:pP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Po všech soutěžích se dřevo sbírá a recykluje. </w:t>
      </w:r>
      <w:r w:rsidR="00B86F3A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Z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dřevní štěpky a pilin </w:t>
      </w:r>
      <w:r w:rsidR="00B86F3A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se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například </w:t>
      </w:r>
      <w:r w:rsidR="00B86F3A"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vyrábí </w:t>
      </w:r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pelety pro zdroje obnovitelné energie. Smysluplné využití najdou i nedotčené kmeny. Například po mistrovství světa 2019 v Praze byly více než dva metry dlouhé kmeny stromů připravené na </w:t>
      </w:r>
      <w:proofErr w:type="spellStart"/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>Springboard</w:t>
      </w:r>
      <w:proofErr w:type="spellEnd"/>
      <w:r w:rsidRPr="002722F4">
        <w:rPr>
          <w:rFonts w:ascii="STIHL Contraface Text" w:eastAsia="Calibri" w:hAnsi="STIHL Contraface Text"/>
          <w:bCs/>
          <w:sz w:val="22"/>
          <w:szCs w:val="22"/>
          <w:lang w:eastAsia="en-US"/>
        </w:rPr>
        <w:t xml:space="preserve"> darovány spolku Přátelé Buďánek na opravu chráněné kolonie.</w:t>
      </w:r>
      <w:r w:rsidRPr="00E4385B">
        <w:rPr>
          <w:rFonts w:ascii="STIHL Contraface Text" w:eastAsia="Calibri" w:hAnsi="STIHL Contraface Text"/>
          <w:bCs/>
          <w:i/>
          <w:iCs/>
          <w:sz w:val="22"/>
          <w:szCs w:val="22"/>
          <w:lang w:eastAsia="en-US"/>
        </w:rPr>
        <w:t xml:space="preserve"> </w:t>
      </w:r>
    </w:p>
    <w:p w14:paraId="3BF6A6E6" w14:textId="700F6EE1" w:rsidR="00CC38BC" w:rsidRDefault="00E4385B" w:rsidP="00E4385B">
      <w:pPr>
        <w:pBdr>
          <w:bottom w:val="single" w:sz="6" w:space="1" w:color="auto"/>
        </w:pBdr>
        <w:spacing w:after="160" w:line="259" w:lineRule="auto"/>
        <w:jc w:val="center"/>
        <w:rPr>
          <w:rFonts w:ascii="Calibri" w:hAnsi="Calibri"/>
        </w:rPr>
      </w:pPr>
      <w:r w:rsidRPr="00E4385B">
        <w:rPr>
          <w:rFonts w:ascii="STIHL Contraface Text" w:eastAsia="Calibri" w:hAnsi="STIHL Contraface Text"/>
          <w:bCs/>
          <w:sz w:val="22"/>
          <w:szCs w:val="22"/>
          <w:lang w:eastAsia="en-US"/>
        </w:rPr>
        <w:t>###</w:t>
      </w:r>
    </w:p>
    <w:p w14:paraId="1F51FCE1" w14:textId="77777777" w:rsidR="00CC38BC" w:rsidRPr="0000358E" w:rsidRDefault="00CC38BC" w:rsidP="00E4385B">
      <w:pPr>
        <w:pBdr>
          <w:bottom w:val="single" w:sz="6" w:space="1" w:color="auto"/>
        </w:pBdr>
        <w:spacing w:after="160" w:line="259" w:lineRule="auto"/>
        <w:jc w:val="center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3967"/>
      </w:tblGrid>
      <w:tr w:rsidR="00C300F7" w:rsidRPr="00705127" w14:paraId="3C146169" w14:textId="77777777" w:rsidTr="007B6C6D">
        <w:tc>
          <w:tcPr>
            <w:tcW w:w="5245" w:type="dxa"/>
          </w:tcPr>
          <w:p w14:paraId="6EB9E20A" w14:textId="77777777" w:rsidR="00C300F7" w:rsidRPr="00705127" w:rsidRDefault="00C300F7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Organizátor soutěže:</w:t>
            </w:r>
          </w:p>
          <w:p w14:paraId="6C218826" w14:textId="77777777" w:rsidR="00C300F7" w:rsidRPr="00705127" w:rsidRDefault="00C300F7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THE ORIGINAL EXTREME SUPPORT spol. s r.o.</w:t>
            </w:r>
          </w:p>
          <w:p w14:paraId="5D711702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Jan Brabec</w:t>
            </w:r>
          </w:p>
          <w:p w14:paraId="568C95A5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Olší 24</w:t>
            </w:r>
          </w:p>
          <w:p w14:paraId="6A55C6B0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592 61 Olší</w:t>
            </w:r>
          </w:p>
          <w:p w14:paraId="77B42F6B" w14:textId="77777777" w:rsidR="00C300F7" w:rsidRPr="00705127" w:rsidRDefault="00C300F7" w:rsidP="00C82A90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>mobil: +420 601 160 161</w:t>
            </w:r>
          </w:p>
          <w:p w14:paraId="568C01C6" w14:textId="77777777" w:rsidR="00C300F7" w:rsidRPr="00705127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Cs/>
                <w:sz w:val="22"/>
                <w:szCs w:val="22"/>
              </w:rPr>
              <w:t xml:space="preserve">e-mail: </w:t>
            </w:r>
            <w:r w:rsidRPr="00705127">
              <w:rPr>
                <w:rStyle w:val="Hypertextovodkaz"/>
                <w:rFonts w:ascii="Calibri" w:hAnsi="Calibri" w:cstheme="minorHAnsi"/>
                <w:sz w:val="22"/>
                <w:szCs w:val="22"/>
              </w:rPr>
              <w:t>orga@theoriginalextremesport.cz</w:t>
            </w:r>
          </w:p>
        </w:tc>
        <w:tc>
          <w:tcPr>
            <w:tcW w:w="3967" w:type="dxa"/>
          </w:tcPr>
          <w:p w14:paraId="542CE3F7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Kontakt pro média:</w:t>
            </w:r>
          </w:p>
          <w:p w14:paraId="59326F2B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 xml:space="preserve">Phoenix </w:t>
            </w:r>
            <w:proofErr w:type="spellStart"/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>Communication</w:t>
            </w:r>
            <w:proofErr w:type="spellEnd"/>
            <w:r w:rsidRPr="00705127">
              <w:rPr>
                <w:rFonts w:ascii="Calibri" w:hAnsi="Calibri" w:cstheme="minorHAnsi"/>
                <w:b/>
                <w:sz w:val="22"/>
                <w:szCs w:val="22"/>
              </w:rPr>
              <w:t xml:space="preserve"> a.s.</w:t>
            </w:r>
          </w:p>
          <w:p w14:paraId="7EDFA8CC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Hedvika Přibová</w:t>
            </w:r>
          </w:p>
          <w:p w14:paraId="655B94B1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Opletalova 918/7</w:t>
            </w:r>
          </w:p>
          <w:p w14:paraId="05642A70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110 00 Praha 1</w:t>
            </w:r>
          </w:p>
          <w:p w14:paraId="6EBCBFE2" w14:textId="77777777" w:rsidR="00C300F7" w:rsidRPr="00705127" w:rsidRDefault="00C300F7" w:rsidP="00C82A90">
            <w:p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>tel.: 774 273 821</w:t>
            </w:r>
          </w:p>
          <w:p w14:paraId="5A1A3FF4" w14:textId="77777777" w:rsidR="00C300F7" w:rsidRPr="00705127" w:rsidRDefault="00C300F7" w:rsidP="00C82A90">
            <w:pPr>
              <w:spacing w:after="24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05127">
              <w:rPr>
                <w:rFonts w:ascii="Calibri" w:hAnsi="Calibri" w:cstheme="minorHAnsi"/>
                <w:sz w:val="22"/>
                <w:szCs w:val="22"/>
              </w:rPr>
              <w:t xml:space="preserve">e-mail: </w:t>
            </w:r>
            <w:hyperlink r:id="rId11" w:history="1">
              <w:r w:rsidRPr="00705127">
                <w:rPr>
                  <w:rStyle w:val="Hypertextovodkaz"/>
                  <w:rFonts w:ascii="Calibri" w:hAnsi="Calibri" w:cstheme="minorHAnsi"/>
                  <w:sz w:val="22"/>
                  <w:szCs w:val="22"/>
                </w:rPr>
                <w:t>hedvika@phoenixcom.cz</w:t>
              </w:r>
            </w:hyperlink>
            <w:r w:rsidRPr="0070512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</w:p>
        </w:tc>
      </w:tr>
      <w:tr w:rsidR="007B6C6D" w:rsidRPr="00705127" w14:paraId="2FE2956B" w14:textId="77777777" w:rsidTr="007B6C6D">
        <w:tc>
          <w:tcPr>
            <w:tcW w:w="5245" w:type="dxa"/>
          </w:tcPr>
          <w:p w14:paraId="35200B7C" w14:textId="77777777" w:rsidR="007B6C6D" w:rsidRPr="00705127" w:rsidRDefault="007B6C6D" w:rsidP="00C82A90">
            <w:pPr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3967" w:type="dxa"/>
          </w:tcPr>
          <w:p w14:paraId="296557B5" w14:textId="77777777" w:rsidR="007B6C6D" w:rsidRPr="00705127" w:rsidRDefault="007B6C6D" w:rsidP="00C82A90">
            <w:pPr>
              <w:jc w:val="both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14:paraId="05256C2F" w14:textId="77777777" w:rsidR="00CC38BC" w:rsidRDefault="00CC38BC" w:rsidP="00C300F7">
      <w:pPr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</w:p>
    <w:p w14:paraId="49E8385D" w14:textId="6D2A26F5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05127">
        <w:rPr>
          <w:rFonts w:ascii="Calibri" w:hAnsi="Calibri" w:cstheme="minorHAnsi"/>
          <w:b/>
          <w:bCs/>
          <w:sz w:val="22"/>
          <w:szCs w:val="22"/>
        </w:rPr>
        <w:t>O STIHL TIMBERSPORTS®</w:t>
      </w:r>
    </w:p>
    <w:p w14:paraId="6CC72D03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705127">
        <w:rPr>
          <w:rFonts w:ascii="Calibri" w:hAnsi="Calibri" w:cstheme="minorHAnsi"/>
          <w:sz w:val="22"/>
          <w:szCs w:val="22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2" w:history="1">
        <w:r w:rsidRPr="00705127">
          <w:rPr>
            <w:rStyle w:val="Hypertextovodkaz"/>
            <w:rFonts w:ascii="Calibri" w:hAnsi="Calibri" w:cstheme="minorHAnsi"/>
            <w:sz w:val="22"/>
            <w:szCs w:val="22"/>
          </w:rPr>
          <w:t>v šesti tradičních disciplínách</w:t>
        </w:r>
      </w:hyperlink>
      <w:r w:rsidRPr="00705127">
        <w:rPr>
          <w:rFonts w:ascii="Calibri" w:hAnsi="Calibri" w:cstheme="minorHAnsi"/>
          <w:sz w:val="22"/>
          <w:szCs w:val="22"/>
        </w:rPr>
        <w:t xml:space="preserve"> </w:t>
      </w:r>
      <w:r w:rsidR="00E70225" w:rsidRPr="00705127">
        <w:rPr>
          <w:rFonts w:ascii="Calibri" w:hAnsi="Calibri" w:cstheme="minorHAnsi"/>
          <w:sz w:val="22"/>
          <w:szCs w:val="22"/>
        </w:rPr>
        <w:t>po</w:t>
      </w:r>
      <w:r w:rsidRPr="00705127">
        <w:rPr>
          <w:rFonts w:ascii="Calibri" w:hAnsi="Calibri" w:cstheme="minorHAnsi"/>
          <w:sz w:val="22"/>
          <w:szCs w:val="22"/>
        </w:rPr>
        <w:t>dle formátu soutěže. Ve třech disciplínách se používá sekera (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Underhand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Chop,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Standing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Blok Chop,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Springboard</w:t>
      </w:r>
      <w:proofErr w:type="spellEnd"/>
      <w:r w:rsidRPr="00705127">
        <w:rPr>
          <w:rFonts w:ascii="Calibri" w:hAnsi="Calibri" w:cstheme="minorHAnsi"/>
          <w:sz w:val="22"/>
          <w:szCs w:val="22"/>
        </w:rPr>
        <w:t>) a ve třech pila (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Stock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Saw</w:t>
      </w:r>
      <w:proofErr w:type="spellEnd"/>
      <w:r w:rsidRPr="00705127">
        <w:rPr>
          <w:rFonts w:ascii="Calibri" w:hAnsi="Calibri" w:cstheme="minorHAnsi"/>
          <w:sz w:val="22"/>
          <w:szCs w:val="22"/>
        </w:rPr>
        <w:t xml:space="preserve">, Single Buck, Hot </w:t>
      </w:r>
      <w:proofErr w:type="spellStart"/>
      <w:r w:rsidRPr="00705127">
        <w:rPr>
          <w:rFonts w:ascii="Calibri" w:hAnsi="Calibri" w:cstheme="minorHAnsi"/>
          <w:sz w:val="22"/>
          <w:szCs w:val="22"/>
        </w:rPr>
        <w:t>Saw</w:t>
      </w:r>
      <w:proofErr w:type="spellEnd"/>
      <w:r w:rsidRPr="00705127">
        <w:rPr>
          <w:rFonts w:ascii="Calibri" w:hAnsi="Calibri" w:cstheme="minorHAnsi"/>
          <w:sz w:val="22"/>
          <w:szCs w:val="22"/>
        </w:rPr>
        <w:t>).</w:t>
      </w:r>
    </w:p>
    <w:p w14:paraId="3016B524" w14:textId="77777777" w:rsidR="00C300F7" w:rsidRPr="00705127" w:rsidRDefault="00C300F7" w:rsidP="00C300F7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</w:p>
    <w:p w14:paraId="348B424A" w14:textId="4D6D7235" w:rsidR="00C300F7" w:rsidRPr="00705127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  <w:sz w:val="22"/>
          <w:szCs w:val="22"/>
        </w:rPr>
      </w:pPr>
      <w:r w:rsidRPr="00705127">
        <w:rPr>
          <w:rFonts w:ascii="Calibri" w:hAnsi="Calibri" w:cstheme="minorHAnsi"/>
          <w:b/>
          <w:sz w:val="22"/>
          <w:szCs w:val="22"/>
        </w:rPr>
        <w:t xml:space="preserve">Více informací o soutěži STIHL TIMBERSPORTS naleznete na webových stránkách </w:t>
      </w:r>
      <w:hyperlink r:id="rId13" w:history="1">
        <w:r w:rsidR="00990E14" w:rsidRPr="00705127">
          <w:rPr>
            <w:rStyle w:val="Hypertextovodkaz"/>
            <w:rFonts w:ascii="Calibri" w:hAnsi="Calibri" w:cstheme="minorHAnsi"/>
            <w:b/>
            <w:sz w:val="22"/>
            <w:szCs w:val="22"/>
          </w:rPr>
          <w:t>www.stihl.cz</w:t>
        </w:r>
      </w:hyperlink>
      <w:r w:rsidR="00990E14" w:rsidRPr="00705127">
        <w:rPr>
          <w:rFonts w:ascii="Calibri" w:hAnsi="Calibri" w:cstheme="minorHAnsi"/>
          <w:b/>
          <w:sz w:val="22"/>
          <w:szCs w:val="22"/>
        </w:rPr>
        <w:t xml:space="preserve"> </w:t>
      </w:r>
    </w:p>
    <w:sectPr w:rsidR="00C300F7" w:rsidRPr="00705127" w:rsidSect="00B177F6">
      <w:headerReference w:type="default" r:id="rId14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FF40" w14:textId="77777777" w:rsidR="00F45271" w:rsidRDefault="00F45271" w:rsidP="00184AD1">
      <w:r>
        <w:separator/>
      </w:r>
    </w:p>
  </w:endnote>
  <w:endnote w:type="continuationSeparator" w:id="0">
    <w:p w14:paraId="0DF8D2A3" w14:textId="77777777" w:rsidR="00F45271" w:rsidRDefault="00F45271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IHL Contraface Text">
    <w:altName w:val="Calibri"/>
    <w:panose1 w:val="020B0604020202020204"/>
    <w:charset w:val="00"/>
    <w:family w:val="swiss"/>
    <w:notTrueType/>
    <w:pitch w:val="variable"/>
    <w:sig w:usb0="4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1129" w14:textId="77777777" w:rsidR="00F45271" w:rsidRDefault="00F45271" w:rsidP="00184AD1">
      <w:r>
        <w:separator/>
      </w:r>
    </w:p>
  </w:footnote>
  <w:footnote w:type="continuationSeparator" w:id="0">
    <w:p w14:paraId="414E58A1" w14:textId="77777777" w:rsidR="00F45271" w:rsidRDefault="00F45271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87B3" w14:textId="77777777" w:rsidR="0000358E" w:rsidRDefault="0000358E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243398679" name="Obrázek 1243398679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0C0"/>
    <w:multiLevelType w:val="hybridMultilevel"/>
    <w:tmpl w:val="529A66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C1057"/>
    <w:multiLevelType w:val="multilevel"/>
    <w:tmpl w:val="24C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D377A"/>
    <w:multiLevelType w:val="hybridMultilevel"/>
    <w:tmpl w:val="E64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3332"/>
    <w:multiLevelType w:val="hybridMultilevel"/>
    <w:tmpl w:val="BDBA39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80B7F"/>
    <w:multiLevelType w:val="hybridMultilevel"/>
    <w:tmpl w:val="36FEF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010186">
    <w:abstractNumId w:val="1"/>
  </w:num>
  <w:num w:numId="2" w16cid:durableId="1293707062">
    <w:abstractNumId w:val="2"/>
  </w:num>
  <w:num w:numId="3" w16cid:durableId="709456308">
    <w:abstractNumId w:val="3"/>
  </w:num>
  <w:num w:numId="4" w16cid:durableId="1198742761">
    <w:abstractNumId w:val="5"/>
  </w:num>
  <w:num w:numId="5" w16cid:durableId="1466704495">
    <w:abstractNumId w:val="0"/>
  </w:num>
  <w:num w:numId="6" w16cid:durableId="1250115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D1"/>
    <w:rsid w:val="00000963"/>
    <w:rsid w:val="00003584"/>
    <w:rsid w:val="0000358E"/>
    <w:rsid w:val="000039E3"/>
    <w:rsid w:val="00017633"/>
    <w:rsid w:val="0003186F"/>
    <w:rsid w:val="000437C2"/>
    <w:rsid w:val="00054320"/>
    <w:rsid w:val="00095033"/>
    <w:rsid w:val="000B1753"/>
    <w:rsid w:val="000B293F"/>
    <w:rsid w:val="000B4F0B"/>
    <w:rsid w:val="000B549B"/>
    <w:rsid w:val="000C2D77"/>
    <w:rsid w:val="000C7452"/>
    <w:rsid w:val="000D0AC3"/>
    <w:rsid w:val="000D2C1C"/>
    <w:rsid w:val="000E056D"/>
    <w:rsid w:val="000E0A9D"/>
    <w:rsid w:val="000E1930"/>
    <w:rsid w:val="000E1D7D"/>
    <w:rsid w:val="000E5A70"/>
    <w:rsid w:val="000F2093"/>
    <w:rsid w:val="000F7F98"/>
    <w:rsid w:val="00107E58"/>
    <w:rsid w:val="00114BA9"/>
    <w:rsid w:val="00133401"/>
    <w:rsid w:val="001339B1"/>
    <w:rsid w:val="00151A22"/>
    <w:rsid w:val="001715E6"/>
    <w:rsid w:val="00174083"/>
    <w:rsid w:val="00176124"/>
    <w:rsid w:val="00177F22"/>
    <w:rsid w:val="001818F0"/>
    <w:rsid w:val="00184AD1"/>
    <w:rsid w:val="001861FB"/>
    <w:rsid w:val="00192DFD"/>
    <w:rsid w:val="00194E9C"/>
    <w:rsid w:val="00195081"/>
    <w:rsid w:val="001A06ED"/>
    <w:rsid w:val="001A1D91"/>
    <w:rsid w:val="001B38C7"/>
    <w:rsid w:val="001D18C3"/>
    <w:rsid w:val="001D1E99"/>
    <w:rsid w:val="001D653E"/>
    <w:rsid w:val="001E2A69"/>
    <w:rsid w:val="001E4C46"/>
    <w:rsid w:val="00201C7C"/>
    <w:rsid w:val="00210B06"/>
    <w:rsid w:val="00217354"/>
    <w:rsid w:val="00225C34"/>
    <w:rsid w:val="00227A10"/>
    <w:rsid w:val="00231F2E"/>
    <w:rsid w:val="00235C52"/>
    <w:rsid w:val="00236210"/>
    <w:rsid w:val="00242821"/>
    <w:rsid w:val="00256442"/>
    <w:rsid w:val="002638B3"/>
    <w:rsid w:val="00263C5A"/>
    <w:rsid w:val="00266A42"/>
    <w:rsid w:val="002722F4"/>
    <w:rsid w:val="002827B8"/>
    <w:rsid w:val="00284B82"/>
    <w:rsid w:val="00287D0D"/>
    <w:rsid w:val="0029157E"/>
    <w:rsid w:val="0029671F"/>
    <w:rsid w:val="002B2A47"/>
    <w:rsid w:val="002D189E"/>
    <w:rsid w:val="002D6093"/>
    <w:rsid w:val="002D6E35"/>
    <w:rsid w:val="002E3409"/>
    <w:rsid w:val="003019A6"/>
    <w:rsid w:val="00307DFA"/>
    <w:rsid w:val="003145D4"/>
    <w:rsid w:val="003263C6"/>
    <w:rsid w:val="00327C9B"/>
    <w:rsid w:val="00333F54"/>
    <w:rsid w:val="003454A7"/>
    <w:rsid w:val="00361DFF"/>
    <w:rsid w:val="00391519"/>
    <w:rsid w:val="0039205C"/>
    <w:rsid w:val="00392E12"/>
    <w:rsid w:val="00394A9C"/>
    <w:rsid w:val="003961DE"/>
    <w:rsid w:val="003A1960"/>
    <w:rsid w:val="003B7576"/>
    <w:rsid w:val="003D03B5"/>
    <w:rsid w:val="003D54B7"/>
    <w:rsid w:val="003E200E"/>
    <w:rsid w:val="003F3E0D"/>
    <w:rsid w:val="00402D5D"/>
    <w:rsid w:val="00412F39"/>
    <w:rsid w:val="004246D5"/>
    <w:rsid w:val="004248B0"/>
    <w:rsid w:val="0043296E"/>
    <w:rsid w:val="00433686"/>
    <w:rsid w:val="00436AC4"/>
    <w:rsid w:val="00454F4D"/>
    <w:rsid w:val="00456F1E"/>
    <w:rsid w:val="00490A73"/>
    <w:rsid w:val="00496E48"/>
    <w:rsid w:val="004A23F4"/>
    <w:rsid w:val="004A50B1"/>
    <w:rsid w:val="004A777C"/>
    <w:rsid w:val="004C5D11"/>
    <w:rsid w:val="004D60C0"/>
    <w:rsid w:val="004D6E98"/>
    <w:rsid w:val="004E4F5A"/>
    <w:rsid w:val="004F2006"/>
    <w:rsid w:val="004F75D0"/>
    <w:rsid w:val="00500F41"/>
    <w:rsid w:val="00522A1F"/>
    <w:rsid w:val="00535CE1"/>
    <w:rsid w:val="005367D4"/>
    <w:rsid w:val="00543869"/>
    <w:rsid w:val="0054620A"/>
    <w:rsid w:val="00553888"/>
    <w:rsid w:val="005570DA"/>
    <w:rsid w:val="00561827"/>
    <w:rsid w:val="00575125"/>
    <w:rsid w:val="00583E87"/>
    <w:rsid w:val="00590307"/>
    <w:rsid w:val="00591F9F"/>
    <w:rsid w:val="005969AB"/>
    <w:rsid w:val="00597811"/>
    <w:rsid w:val="005A6882"/>
    <w:rsid w:val="005B22BB"/>
    <w:rsid w:val="005B3D8C"/>
    <w:rsid w:val="005C0C2A"/>
    <w:rsid w:val="005D16B7"/>
    <w:rsid w:val="005F79DB"/>
    <w:rsid w:val="00602979"/>
    <w:rsid w:val="00611CC0"/>
    <w:rsid w:val="006163B5"/>
    <w:rsid w:val="00635ACF"/>
    <w:rsid w:val="00637AB4"/>
    <w:rsid w:val="0064048E"/>
    <w:rsid w:val="00642914"/>
    <w:rsid w:val="00651E7B"/>
    <w:rsid w:val="006548E6"/>
    <w:rsid w:val="006562D7"/>
    <w:rsid w:val="006578B8"/>
    <w:rsid w:val="00665BBD"/>
    <w:rsid w:val="00686B43"/>
    <w:rsid w:val="00691A14"/>
    <w:rsid w:val="006A0229"/>
    <w:rsid w:val="006B28CC"/>
    <w:rsid w:val="006B4260"/>
    <w:rsid w:val="006B6119"/>
    <w:rsid w:val="006C2E72"/>
    <w:rsid w:val="006C30E8"/>
    <w:rsid w:val="006E0382"/>
    <w:rsid w:val="006E4900"/>
    <w:rsid w:val="006E53EA"/>
    <w:rsid w:val="006E5EDD"/>
    <w:rsid w:val="006F3081"/>
    <w:rsid w:val="006F6B6A"/>
    <w:rsid w:val="007035DB"/>
    <w:rsid w:val="00705127"/>
    <w:rsid w:val="0070514E"/>
    <w:rsid w:val="007103B1"/>
    <w:rsid w:val="00716F8E"/>
    <w:rsid w:val="00724B16"/>
    <w:rsid w:val="00734DBB"/>
    <w:rsid w:val="00741352"/>
    <w:rsid w:val="00743DA0"/>
    <w:rsid w:val="007471D7"/>
    <w:rsid w:val="0075563E"/>
    <w:rsid w:val="00764A8B"/>
    <w:rsid w:val="007675E3"/>
    <w:rsid w:val="0077000D"/>
    <w:rsid w:val="00771551"/>
    <w:rsid w:val="00773A71"/>
    <w:rsid w:val="00774A40"/>
    <w:rsid w:val="00775CE3"/>
    <w:rsid w:val="00794C54"/>
    <w:rsid w:val="007A4A47"/>
    <w:rsid w:val="007B6C6D"/>
    <w:rsid w:val="007C580E"/>
    <w:rsid w:val="007D2AB4"/>
    <w:rsid w:val="007D2B9B"/>
    <w:rsid w:val="007D433D"/>
    <w:rsid w:val="007D6437"/>
    <w:rsid w:val="007E47FB"/>
    <w:rsid w:val="00804F4A"/>
    <w:rsid w:val="00806D84"/>
    <w:rsid w:val="00817D4A"/>
    <w:rsid w:val="00817F59"/>
    <w:rsid w:val="00822CBF"/>
    <w:rsid w:val="00824B1C"/>
    <w:rsid w:val="00836490"/>
    <w:rsid w:val="00840605"/>
    <w:rsid w:val="00843983"/>
    <w:rsid w:val="00847133"/>
    <w:rsid w:val="0084760C"/>
    <w:rsid w:val="00847CCD"/>
    <w:rsid w:val="00870F6C"/>
    <w:rsid w:val="008833FC"/>
    <w:rsid w:val="00897760"/>
    <w:rsid w:val="008A3E94"/>
    <w:rsid w:val="008A5C10"/>
    <w:rsid w:val="008B4ECB"/>
    <w:rsid w:val="008B7C3D"/>
    <w:rsid w:val="008C3C86"/>
    <w:rsid w:val="008C46C6"/>
    <w:rsid w:val="008C4DA1"/>
    <w:rsid w:val="008C63CC"/>
    <w:rsid w:val="008D4827"/>
    <w:rsid w:val="008E6DE9"/>
    <w:rsid w:val="0090229D"/>
    <w:rsid w:val="00907A6F"/>
    <w:rsid w:val="00911AA8"/>
    <w:rsid w:val="0091734B"/>
    <w:rsid w:val="00922DD0"/>
    <w:rsid w:val="00924F39"/>
    <w:rsid w:val="009349C7"/>
    <w:rsid w:val="00940BCF"/>
    <w:rsid w:val="00956A1E"/>
    <w:rsid w:val="0096036F"/>
    <w:rsid w:val="0096231A"/>
    <w:rsid w:val="009708F7"/>
    <w:rsid w:val="00972C2B"/>
    <w:rsid w:val="009779DB"/>
    <w:rsid w:val="00977FAB"/>
    <w:rsid w:val="00990E14"/>
    <w:rsid w:val="009945DF"/>
    <w:rsid w:val="009A4DD8"/>
    <w:rsid w:val="009B4D73"/>
    <w:rsid w:val="009C63B3"/>
    <w:rsid w:val="009D1C3C"/>
    <w:rsid w:val="009E3848"/>
    <w:rsid w:val="009F2042"/>
    <w:rsid w:val="009F3013"/>
    <w:rsid w:val="009F4827"/>
    <w:rsid w:val="00A0160D"/>
    <w:rsid w:val="00A11529"/>
    <w:rsid w:val="00A15352"/>
    <w:rsid w:val="00A224F1"/>
    <w:rsid w:val="00A24664"/>
    <w:rsid w:val="00A60051"/>
    <w:rsid w:val="00A62043"/>
    <w:rsid w:val="00A628E7"/>
    <w:rsid w:val="00A63A75"/>
    <w:rsid w:val="00A66A0A"/>
    <w:rsid w:val="00A702ED"/>
    <w:rsid w:val="00A72BE8"/>
    <w:rsid w:val="00A74882"/>
    <w:rsid w:val="00A92D8E"/>
    <w:rsid w:val="00AA136B"/>
    <w:rsid w:val="00AB0632"/>
    <w:rsid w:val="00AB6ADA"/>
    <w:rsid w:val="00AB6D29"/>
    <w:rsid w:val="00AB6DAC"/>
    <w:rsid w:val="00AC4D02"/>
    <w:rsid w:val="00AD3B44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510EF"/>
    <w:rsid w:val="00B60DCD"/>
    <w:rsid w:val="00B66537"/>
    <w:rsid w:val="00B80575"/>
    <w:rsid w:val="00B86F3A"/>
    <w:rsid w:val="00BA041A"/>
    <w:rsid w:val="00BC27AB"/>
    <w:rsid w:val="00BC304A"/>
    <w:rsid w:val="00BC7392"/>
    <w:rsid w:val="00BD3A0A"/>
    <w:rsid w:val="00BD3EB0"/>
    <w:rsid w:val="00BD4E6C"/>
    <w:rsid w:val="00BE3F98"/>
    <w:rsid w:val="00BF307D"/>
    <w:rsid w:val="00C114A4"/>
    <w:rsid w:val="00C14E54"/>
    <w:rsid w:val="00C21C4E"/>
    <w:rsid w:val="00C274F5"/>
    <w:rsid w:val="00C300F7"/>
    <w:rsid w:val="00C54B8D"/>
    <w:rsid w:val="00C56C9D"/>
    <w:rsid w:val="00C57AF5"/>
    <w:rsid w:val="00C65209"/>
    <w:rsid w:val="00C65A26"/>
    <w:rsid w:val="00C72A7B"/>
    <w:rsid w:val="00C80CF9"/>
    <w:rsid w:val="00C82A90"/>
    <w:rsid w:val="00C957B2"/>
    <w:rsid w:val="00CB1E1F"/>
    <w:rsid w:val="00CC38BC"/>
    <w:rsid w:val="00CC39CE"/>
    <w:rsid w:val="00CD39C2"/>
    <w:rsid w:val="00CD7E87"/>
    <w:rsid w:val="00CE290F"/>
    <w:rsid w:val="00CF7A2F"/>
    <w:rsid w:val="00D0340C"/>
    <w:rsid w:val="00D04AFC"/>
    <w:rsid w:val="00D11355"/>
    <w:rsid w:val="00D43192"/>
    <w:rsid w:val="00D45812"/>
    <w:rsid w:val="00D45BA0"/>
    <w:rsid w:val="00D46CA5"/>
    <w:rsid w:val="00D51343"/>
    <w:rsid w:val="00D70AAF"/>
    <w:rsid w:val="00D71807"/>
    <w:rsid w:val="00D82CE0"/>
    <w:rsid w:val="00DA043A"/>
    <w:rsid w:val="00DB2506"/>
    <w:rsid w:val="00DC7822"/>
    <w:rsid w:val="00DD48BA"/>
    <w:rsid w:val="00DD7538"/>
    <w:rsid w:val="00DE3797"/>
    <w:rsid w:val="00DE43AE"/>
    <w:rsid w:val="00DE55EE"/>
    <w:rsid w:val="00DE7499"/>
    <w:rsid w:val="00DF3A85"/>
    <w:rsid w:val="00DF6C94"/>
    <w:rsid w:val="00E01BDE"/>
    <w:rsid w:val="00E03D6B"/>
    <w:rsid w:val="00E13819"/>
    <w:rsid w:val="00E247D6"/>
    <w:rsid w:val="00E24A88"/>
    <w:rsid w:val="00E32FBA"/>
    <w:rsid w:val="00E36E1F"/>
    <w:rsid w:val="00E4297A"/>
    <w:rsid w:val="00E4385B"/>
    <w:rsid w:val="00E454EE"/>
    <w:rsid w:val="00E528D6"/>
    <w:rsid w:val="00E53FB5"/>
    <w:rsid w:val="00E54AEB"/>
    <w:rsid w:val="00E61A22"/>
    <w:rsid w:val="00E70225"/>
    <w:rsid w:val="00E70332"/>
    <w:rsid w:val="00E749B3"/>
    <w:rsid w:val="00E74F9E"/>
    <w:rsid w:val="00E819B5"/>
    <w:rsid w:val="00E84438"/>
    <w:rsid w:val="00E90BD7"/>
    <w:rsid w:val="00E917D6"/>
    <w:rsid w:val="00E94AF0"/>
    <w:rsid w:val="00E952F8"/>
    <w:rsid w:val="00E979D7"/>
    <w:rsid w:val="00EA1209"/>
    <w:rsid w:val="00EB146C"/>
    <w:rsid w:val="00EC2BA5"/>
    <w:rsid w:val="00EC37A2"/>
    <w:rsid w:val="00EC3E2F"/>
    <w:rsid w:val="00ED2028"/>
    <w:rsid w:val="00ED3B04"/>
    <w:rsid w:val="00ED66F2"/>
    <w:rsid w:val="00EE139F"/>
    <w:rsid w:val="00EE5F47"/>
    <w:rsid w:val="00F00600"/>
    <w:rsid w:val="00F02163"/>
    <w:rsid w:val="00F03653"/>
    <w:rsid w:val="00F05997"/>
    <w:rsid w:val="00F2336E"/>
    <w:rsid w:val="00F366E4"/>
    <w:rsid w:val="00F40086"/>
    <w:rsid w:val="00F42DB5"/>
    <w:rsid w:val="00F44103"/>
    <w:rsid w:val="00F4412D"/>
    <w:rsid w:val="00F45271"/>
    <w:rsid w:val="00F5322C"/>
    <w:rsid w:val="00F552E9"/>
    <w:rsid w:val="00F654E1"/>
    <w:rsid w:val="00F7025C"/>
    <w:rsid w:val="00F769FE"/>
    <w:rsid w:val="00F873BB"/>
    <w:rsid w:val="00F96B6B"/>
    <w:rsid w:val="00FA4403"/>
    <w:rsid w:val="00FB723A"/>
    <w:rsid w:val="00FC4EE1"/>
    <w:rsid w:val="00FD6289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4EF081"/>
  <w15:docId w15:val="{14BFD305-4104-1145-A2F7-BCFE773F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84AD1"/>
  </w:style>
  <w:style w:type="paragraph" w:styleId="Zpat">
    <w:name w:val="footer"/>
    <w:basedOn w:val="Normln"/>
    <w:link w:val="Zpat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84AD1"/>
  </w:style>
  <w:style w:type="paragraph" w:styleId="Zkladntext">
    <w:name w:val="Body Text"/>
    <w:basedOn w:val="Normln"/>
    <w:link w:val="ZkladntextChar"/>
    <w:semiHidden/>
    <w:rsid w:val="00184AD1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84AD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113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3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3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0E056D"/>
  </w:style>
  <w:style w:type="character" w:customStyle="1" w:styleId="Nadpis3Char">
    <w:name w:val="Nadpis 3 Char"/>
    <w:basedOn w:val="Standardnpsmoodstavce"/>
    <w:link w:val="Nadpis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00879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uiPriority w:val="39"/>
    <w:rsid w:val="006B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A77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C2BA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9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ih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hl.cz/cs/sluzby-a-akce/stihl-nazivo/stihl-timberspor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b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390d309d416a71935adfa63645d6e9d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fc71075db2fd7a92d15375f6622335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Props1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BEC50-36A3-421E-90A8-5DCD108D4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B2C5D-6EEA-1741-9595-C595CDF8B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843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Přibová | PHOENIXCOM</cp:lastModifiedBy>
  <cp:revision>6</cp:revision>
  <dcterms:created xsi:type="dcterms:W3CDTF">2026-03-09T12:09:00Z</dcterms:created>
  <dcterms:modified xsi:type="dcterms:W3CDTF">2026-03-18T12:36:00Z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  <property fmtid="{D5CDD505-2E9C-101B-9397-08002B2CF9AE}" pid="4" name="GrammarlyDocumentId">
    <vt:lpwstr>eed7c88b-4e4e-4761-8275-13ff4ffb8961</vt:lpwstr>
  </property>
</Properties>
</file>