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AE43" w14:textId="77777777" w:rsidR="00DA2677" w:rsidRPr="00DA2677" w:rsidRDefault="00DA2677" w:rsidP="00DA2677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DA2677">
        <w:rPr>
          <w:rFonts w:ascii="Calibri" w:eastAsia="Times New Roman" w:hAnsi="Calibri" w:cs="Calibri"/>
          <w:b/>
          <w:bCs/>
          <w:sz w:val="28"/>
          <w:szCs w:val="28"/>
        </w:rPr>
        <w:t>Brokolicové špagety z jednoho hrnce</w:t>
      </w:r>
    </w:p>
    <w:p w14:paraId="30AD6870" w14:textId="078C691B" w:rsidR="00974D20" w:rsidRDefault="00DA2677" w:rsidP="00974D20">
      <w:pPr>
        <w:jc w:val="both"/>
        <w:rPr>
          <w:b/>
          <w:bCs/>
        </w:rPr>
      </w:pPr>
      <w:r w:rsidRPr="00DA2677">
        <w:rPr>
          <w:rStyle w:val="citation-88"/>
          <w:b/>
          <w:bCs/>
        </w:rPr>
        <w:t xml:space="preserve">Nemáte času nazbyt, a přesto si chcete pochutnat na poctivém domácím jídle? </w:t>
      </w:r>
      <w:r w:rsidRPr="00DA2677">
        <w:rPr>
          <w:rStyle w:val="citation-87"/>
          <w:b/>
          <w:bCs/>
        </w:rPr>
        <w:t>Vyzkoušejte tyto brokolicové celozrnné špagety připravené v jednom hrnci</w:t>
      </w:r>
      <w:r w:rsidR="00586109">
        <w:rPr>
          <w:rStyle w:val="citation-87"/>
          <w:b/>
          <w:bCs/>
        </w:rPr>
        <w:t xml:space="preserve">. My </w:t>
      </w:r>
      <w:r w:rsidR="00974D20">
        <w:rPr>
          <w:rStyle w:val="citation-87"/>
          <w:b/>
          <w:bCs/>
        </w:rPr>
        <w:t>j</w:t>
      </w:r>
      <w:r w:rsidR="00586109">
        <w:rPr>
          <w:rStyle w:val="citation-87"/>
          <w:b/>
          <w:bCs/>
        </w:rPr>
        <w:t xml:space="preserve">sme použili tzv. </w:t>
      </w:r>
      <w:proofErr w:type="spellStart"/>
      <w:r w:rsidR="00586109">
        <w:rPr>
          <w:rStyle w:val="citation-87"/>
          <w:b/>
          <w:bCs/>
        </w:rPr>
        <w:t>multicooker</w:t>
      </w:r>
      <w:proofErr w:type="spellEnd"/>
      <w:r w:rsidR="00586109">
        <w:rPr>
          <w:rStyle w:val="citation-87"/>
          <w:b/>
          <w:bCs/>
        </w:rPr>
        <w:t xml:space="preserve">, </w:t>
      </w:r>
      <w:r w:rsidR="00974D20">
        <w:rPr>
          <w:rStyle w:val="citation-87"/>
          <w:b/>
          <w:bCs/>
        </w:rPr>
        <w:t>použít</w:t>
      </w:r>
      <w:r w:rsidR="00586109">
        <w:rPr>
          <w:rStyle w:val="citation-87"/>
          <w:b/>
          <w:bCs/>
        </w:rPr>
        <w:t xml:space="preserve"> však </w:t>
      </w:r>
      <w:r w:rsidR="00974D20">
        <w:rPr>
          <w:rStyle w:val="citation-87"/>
          <w:b/>
          <w:bCs/>
        </w:rPr>
        <w:t>můžete</w:t>
      </w:r>
      <w:r w:rsidR="00586109">
        <w:rPr>
          <w:rStyle w:val="citation-87"/>
          <w:b/>
          <w:bCs/>
        </w:rPr>
        <w:t xml:space="preserve"> </w:t>
      </w:r>
      <w:r w:rsidR="00974D20">
        <w:rPr>
          <w:rStyle w:val="citation-87"/>
          <w:b/>
          <w:bCs/>
        </w:rPr>
        <w:t>jakýkoliv</w:t>
      </w:r>
      <w:r w:rsidR="00586109">
        <w:rPr>
          <w:rStyle w:val="citation-87"/>
          <w:b/>
          <w:bCs/>
        </w:rPr>
        <w:t xml:space="preserve"> tlakový </w:t>
      </w:r>
      <w:r w:rsidR="00974D20">
        <w:rPr>
          <w:rStyle w:val="citation-87"/>
          <w:b/>
          <w:bCs/>
        </w:rPr>
        <w:t>nebo</w:t>
      </w:r>
      <w:r w:rsidR="00586109">
        <w:rPr>
          <w:rStyle w:val="citation-87"/>
          <w:b/>
          <w:bCs/>
        </w:rPr>
        <w:t xml:space="preserve"> </w:t>
      </w:r>
      <w:r w:rsidR="00974D20">
        <w:rPr>
          <w:rStyle w:val="citation-87"/>
          <w:b/>
          <w:bCs/>
        </w:rPr>
        <w:t>i</w:t>
      </w:r>
      <w:r w:rsidR="00586109">
        <w:rPr>
          <w:rStyle w:val="citation-87"/>
          <w:b/>
          <w:bCs/>
        </w:rPr>
        <w:t xml:space="preserve"> </w:t>
      </w:r>
      <w:r w:rsidR="00974D20">
        <w:rPr>
          <w:rStyle w:val="citation-87"/>
          <w:b/>
          <w:bCs/>
        </w:rPr>
        <w:t>běžný</w:t>
      </w:r>
      <w:r w:rsidR="00586109">
        <w:rPr>
          <w:rStyle w:val="citation-87"/>
          <w:b/>
          <w:bCs/>
        </w:rPr>
        <w:t xml:space="preserve"> </w:t>
      </w:r>
      <w:r w:rsidR="00974D20">
        <w:rPr>
          <w:rStyle w:val="citation-87"/>
          <w:b/>
          <w:bCs/>
        </w:rPr>
        <w:t>hrnec</w:t>
      </w:r>
      <w:r w:rsidRPr="00DA2677">
        <w:rPr>
          <w:rStyle w:val="citation-87"/>
          <w:b/>
          <w:bCs/>
        </w:rPr>
        <w:t>.</w:t>
      </w:r>
      <w:r w:rsidR="00586109">
        <w:rPr>
          <w:rStyle w:val="citation-87"/>
          <w:b/>
          <w:bCs/>
        </w:rPr>
        <w:t xml:space="preserve">  </w:t>
      </w:r>
      <w:r w:rsidR="00F67CE4">
        <w:rPr>
          <w:rStyle w:val="citation-86"/>
          <w:b/>
          <w:bCs/>
        </w:rPr>
        <w:t xml:space="preserve">Za pár minut </w:t>
      </w:r>
      <w:r w:rsidRPr="00DA2677">
        <w:rPr>
          <w:rStyle w:val="citation-86"/>
          <w:b/>
          <w:bCs/>
        </w:rPr>
        <w:t xml:space="preserve">získáte </w:t>
      </w:r>
      <w:r w:rsidR="00F67CE4">
        <w:rPr>
          <w:rStyle w:val="citation-86"/>
          <w:b/>
          <w:bCs/>
        </w:rPr>
        <w:t xml:space="preserve">skvělý </w:t>
      </w:r>
      <w:r w:rsidRPr="00DA2677">
        <w:rPr>
          <w:rStyle w:val="citation-86"/>
          <w:b/>
          <w:bCs/>
        </w:rPr>
        <w:t>krémový pokrm, aniž byste museli špinit hromadu nádobí.</w:t>
      </w:r>
    </w:p>
    <w:p w14:paraId="1ECC066F" w14:textId="19FA4172" w:rsidR="00DA2677" w:rsidRPr="00DA2677" w:rsidRDefault="00DA2677" w:rsidP="00DA2677">
      <w:pPr>
        <w:spacing w:after="0" w:line="240" w:lineRule="auto"/>
        <w:rPr>
          <w:b/>
          <w:bCs/>
        </w:rPr>
      </w:pPr>
      <w:r w:rsidRPr="00DA2677">
        <w:rPr>
          <w:b/>
          <w:bCs/>
        </w:rPr>
        <w:t>Suroviny</w:t>
      </w:r>
      <w:r w:rsidR="00F67CE4">
        <w:rPr>
          <w:b/>
          <w:bCs/>
        </w:rPr>
        <w:t xml:space="preserve"> (na 2 porce):</w:t>
      </w:r>
    </w:p>
    <w:p w14:paraId="141F91BD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3 lžíce olivového oleje</w:t>
      </w:r>
    </w:p>
    <w:p w14:paraId="1A26C918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1 cibule</w:t>
      </w:r>
    </w:p>
    <w:p w14:paraId="5CFD517E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1 stroužek česneku</w:t>
      </w:r>
    </w:p>
    <w:p w14:paraId="7D2C3C51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0,5 l zeleninového vývaru</w:t>
      </w:r>
    </w:p>
    <w:p w14:paraId="2512DEB2" w14:textId="1317FC24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200 ml 12</w:t>
      </w:r>
      <w:r w:rsidR="0026227B">
        <w:t xml:space="preserve"> </w:t>
      </w:r>
      <w:r w:rsidRPr="00B0711A">
        <w:t>% smetany</w:t>
      </w:r>
    </w:p>
    <w:p w14:paraId="5FF62276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50 g mandlí</w:t>
      </w:r>
    </w:p>
    <w:p w14:paraId="0094F3DE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sůl</w:t>
      </w:r>
    </w:p>
    <w:p w14:paraId="6D5C4DCF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pepř</w:t>
      </w:r>
    </w:p>
    <w:p w14:paraId="0921E6F4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300 g celozrnných špaget</w:t>
      </w:r>
    </w:p>
    <w:p w14:paraId="74A5DB1B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300 g brokolice</w:t>
      </w:r>
    </w:p>
    <w:p w14:paraId="19D38B0E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 xml:space="preserve">sýr </w:t>
      </w:r>
      <w:proofErr w:type="spellStart"/>
      <w:r w:rsidRPr="00B0711A">
        <w:t>Parmigiano-Reggiano</w:t>
      </w:r>
      <w:proofErr w:type="spellEnd"/>
    </w:p>
    <w:p w14:paraId="638A4F4E" w14:textId="77777777" w:rsidR="00DA2677" w:rsidRPr="00B0711A" w:rsidRDefault="00DA2677" w:rsidP="00DA2677">
      <w:pPr>
        <w:numPr>
          <w:ilvl w:val="0"/>
          <w:numId w:val="8"/>
        </w:numPr>
        <w:suppressAutoHyphens w:val="0"/>
        <w:spacing w:after="0" w:line="240" w:lineRule="auto"/>
        <w:textAlignment w:val="baseline"/>
      </w:pPr>
      <w:r w:rsidRPr="00B0711A">
        <w:t>hrachové klíčky</w:t>
      </w:r>
    </w:p>
    <w:p w14:paraId="0D06B9E8" w14:textId="1BBA174E" w:rsidR="00DA2677" w:rsidRPr="00DA2677" w:rsidRDefault="00DA2677" w:rsidP="00DA2677">
      <w:pPr>
        <w:spacing w:after="240" w:line="240" w:lineRule="auto"/>
        <w:rPr>
          <w:b/>
          <w:bCs/>
        </w:rPr>
      </w:pPr>
      <w:r w:rsidRPr="00B0711A">
        <w:br/>
      </w:r>
      <w:r w:rsidRPr="00DA2677">
        <w:rPr>
          <w:b/>
          <w:bCs/>
        </w:rPr>
        <w:t>Postup přípravy v multifunkčním hrnci</w:t>
      </w:r>
      <w:r w:rsidR="00586109">
        <w:rPr>
          <w:b/>
          <w:bCs/>
        </w:rPr>
        <w:t>:</w:t>
      </w:r>
    </w:p>
    <w:p w14:paraId="4038F147" w14:textId="29811669" w:rsidR="00DA2677" w:rsidRPr="00DA2677" w:rsidRDefault="00DA2677" w:rsidP="00DA2677">
      <w:pPr>
        <w:numPr>
          <w:ilvl w:val="0"/>
          <w:numId w:val="22"/>
        </w:numPr>
        <w:spacing w:after="240" w:line="240" w:lineRule="auto"/>
      </w:pPr>
      <w:r w:rsidRPr="00DA2677">
        <w:t xml:space="preserve">V nádobě multifunkčního hrnce rozehřejte olivový olej </w:t>
      </w:r>
      <w:r w:rsidR="00F67CE4">
        <w:t xml:space="preserve">a </w:t>
      </w:r>
      <w:r w:rsidRPr="00DA2677">
        <w:t>nechte zesklovatět nadrobno nakrájenou cibuli a těsně před koncem přidejte prolisovaný česnek. Krátce promíchejte, dokud se česnek nerozvoní.</w:t>
      </w:r>
    </w:p>
    <w:p w14:paraId="32C432B5" w14:textId="7CE12388" w:rsidR="00DA2677" w:rsidRPr="00DA2677" w:rsidRDefault="00DA2677" w:rsidP="00DA2677">
      <w:pPr>
        <w:numPr>
          <w:ilvl w:val="0"/>
          <w:numId w:val="22"/>
        </w:numPr>
        <w:spacing w:after="240" w:line="240" w:lineRule="auto"/>
      </w:pPr>
      <w:r w:rsidRPr="00DA2677">
        <w:t>Do hrnce přilijte vývar, smetanu a přisypte najemno nasekané mandle. Směs osolte a opepřete. Celozrnné špagety v polovině zlomte, aby se do nádoby lépe vešly, vložte je dovnitř a vše důkladně promíchejte.</w:t>
      </w:r>
    </w:p>
    <w:p w14:paraId="6B046AD8" w14:textId="65A1402A" w:rsidR="00DA2677" w:rsidRPr="00DA2677" w:rsidRDefault="00DA2677" w:rsidP="00DA2677">
      <w:pPr>
        <w:numPr>
          <w:ilvl w:val="0"/>
          <w:numId w:val="22"/>
        </w:numPr>
        <w:spacing w:after="240" w:line="240" w:lineRule="auto"/>
      </w:pPr>
      <w:r w:rsidRPr="00DA2677">
        <w:t xml:space="preserve">Hrnec bezpečně uzavřete a zajistěte víko. Zvolte program pro </w:t>
      </w:r>
      <w:r w:rsidRPr="00DA2677">
        <w:rPr>
          <w:b/>
          <w:bCs/>
        </w:rPr>
        <w:t>tlakové vaření</w:t>
      </w:r>
      <w:r w:rsidRPr="00DA2677">
        <w:t xml:space="preserve"> na střední teplotu/tlak a nastavte časovač na </w:t>
      </w:r>
      <w:r w:rsidRPr="00DA2677">
        <w:rPr>
          <w:b/>
          <w:bCs/>
        </w:rPr>
        <w:t>5 minut</w:t>
      </w:r>
      <w:r w:rsidRPr="00DA2677">
        <w:t>. Po skončení programu nechte hrnec automaticky nebo manuálně vypustit páru, dokud neklesne tlak a nepůjde víko bezpečně otevřít.</w:t>
      </w:r>
    </w:p>
    <w:p w14:paraId="1426E57B" w14:textId="62FC039F" w:rsidR="00DA2677" w:rsidRPr="00DA2677" w:rsidRDefault="00DA2677" w:rsidP="00DA2677">
      <w:pPr>
        <w:numPr>
          <w:ilvl w:val="0"/>
          <w:numId w:val="22"/>
        </w:numPr>
        <w:spacing w:after="240" w:line="240" w:lineRule="auto"/>
      </w:pPr>
      <w:r w:rsidRPr="00DA2677">
        <w:t xml:space="preserve">K částečně uvařeným těstovinám přidejte očištěnou brokolici rozebranou na malé kousky. Směs promíchejte, hrnec znovu uzavřete a nastavte program pro </w:t>
      </w:r>
      <w:r w:rsidRPr="00DA2677">
        <w:rPr>
          <w:b/>
          <w:bCs/>
        </w:rPr>
        <w:t>tlakové vaření na dalších 5 minut</w:t>
      </w:r>
      <w:r w:rsidRPr="00DA2677">
        <w:t xml:space="preserve"> při střední teplotě.</w:t>
      </w:r>
    </w:p>
    <w:p w14:paraId="1443C211" w14:textId="6C009C34" w:rsidR="0026227B" w:rsidRDefault="00DA2677" w:rsidP="0026227B">
      <w:pPr>
        <w:numPr>
          <w:ilvl w:val="0"/>
          <w:numId w:val="22"/>
        </w:numPr>
        <w:spacing w:after="240" w:line="240" w:lineRule="auto"/>
      </w:pPr>
      <w:r w:rsidRPr="00DA2677">
        <w:t>Po zaznění signálu a úplném vypuštění páry hrnec otevřete. Špagety servírujte ozdobené plátky parmazánu, hrachovými klíčky a zbylými nasekanými oříšky</w:t>
      </w:r>
      <w:r>
        <w:t>.</w:t>
      </w:r>
    </w:p>
    <w:p w14:paraId="1BEAE76B" w14:textId="4004124A" w:rsidR="0026227B" w:rsidRPr="0026227B" w:rsidRDefault="0026227B" w:rsidP="0026227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cs-CZ"/>
        </w:rPr>
      </w:pPr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Tip </w:t>
      </w:r>
      <w:proofErr w:type="spellStart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Sage</w:t>
      </w:r>
      <w:proofErr w:type="spellEnd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: </w:t>
      </w:r>
      <w:proofErr w:type="spellStart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Multicooker</w:t>
      </w:r>
      <w:proofErr w:type="spellEnd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 </w:t>
      </w:r>
      <w:proofErr w:type="spellStart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The</w:t>
      </w:r>
      <w:proofErr w:type="spellEnd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 Fast </w:t>
      </w:r>
      <w:proofErr w:type="spellStart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Slow</w:t>
      </w:r>
      <w:proofErr w:type="spellEnd"/>
      <w:r w:rsidRPr="0026227B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 Pro</w:t>
      </w:r>
    </w:p>
    <w:p w14:paraId="6C4CB1E5" w14:textId="11BFD463" w:rsidR="0026227B" w:rsidRPr="0026227B" w:rsidRDefault="0026227B" w:rsidP="0026227B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cs-CZ"/>
        </w:rPr>
      </w:pPr>
      <w:r w:rsidRPr="0026227B">
        <w:rPr>
          <w:rFonts w:ascii="Calibri" w:hAnsi="Calibri" w:cs="Calibri"/>
          <w:color w:val="000000"/>
          <w:sz w:val="22"/>
          <w:szCs w:val="22"/>
          <w:lang w:val="cs-CZ"/>
        </w:rPr>
        <w:t xml:space="preserve">Multifunkční elektrický </w:t>
      </w:r>
      <w:hyperlink r:id="rId8" w:history="1">
        <w:r w:rsidRPr="0026227B">
          <w:rPr>
            <w:rStyle w:val="Hypertextovodkaz"/>
            <w:rFonts w:ascii="Calibri" w:hAnsi="Calibri" w:cs="Calibri"/>
            <w:sz w:val="22"/>
            <w:szCs w:val="22"/>
            <w:lang w:val="cs-CZ"/>
          </w:rPr>
          <w:t>tlakový hrnec</w:t>
        </w:r>
      </w:hyperlink>
      <w:r w:rsidRPr="0026227B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Pr="0026227B">
        <w:rPr>
          <w:rFonts w:ascii="Calibri" w:hAnsi="Calibri" w:cs="Calibri"/>
          <w:color w:val="000000"/>
          <w:sz w:val="22"/>
          <w:szCs w:val="22"/>
          <w:lang w:val="cs-CZ"/>
        </w:rPr>
        <w:t>Sage</w:t>
      </w:r>
      <w:proofErr w:type="spellEnd"/>
      <w:r w:rsidRPr="0026227B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cs-CZ"/>
        </w:rPr>
        <w:t>The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 Fast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cs-CZ"/>
        </w:rPr>
        <w:t>Slow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 Pro</w:t>
      </w:r>
      <w:r w:rsidR="00586109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Pr="0026227B">
        <w:rPr>
          <w:rFonts w:ascii="Calibri" w:hAnsi="Calibri" w:cs="Calibri"/>
          <w:color w:val="000000"/>
          <w:sz w:val="22"/>
          <w:szCs w:val="22"/>
          <w:lang w:val="cs-CZ"/>
        </w:rPr>
        <w:t xml:space="preserve">spojuje automatické tlakové vaření se stále populárnějším „pomalým“ vařením. Dokáže automaticky nastavit ideální kombinaci času, teploty a tlaku mezi rychlou a pomalou úpravou, a to vše hlídá prostřednictvím duálních snímačů na horní a dolní části hrnce. Výsledkem je pak maximální chuť a ideální konzistence pokrmu. Hrnec nabízí 6 chytrých programů pro snadnou a rychlou volbu – vaření pod tlakem, pomalé vaření, zahušťování, opékání, restování a přípravu v páře. Cena: 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6 499 </w:t>
      </w:r>
      <w:r w:rsidRPr="0026227B">
        <w:rPr>
          <w:rFonts w:ascii="Calibri" w:hAnsi="Calibri" w:cs="Calibri"/>
          <w:color w:val="000000"/>
          <w:sz w:val="22"/>
          <w:szCs w:val="22"/>
          <w:lang w:val="cs-CZ"/>
        </w:rPr>
        <w:t>K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č</w:t>
      </w:r>
    </w:p>
    <w:p w14:paraId="3ED43DA3" w14:textId="77777777" w:rsidR="0026227B" w:rsidRDefault="0026227B" w:rsidP="0026227B">
      <w:pPr>
        <w:spacing w:after="240" w:line="240" w:lineRule="auto"/>
        <w:ind w:left="360"/>
      </w:pPr>
    </w:p>
    <w:p w14:paraId="63401B96" w14:textId="77777777" w:rsidR="0026227B" w:rsidRPr="00DA2677" w:rsidRDefault="0026227B" w:rsidP="0026227B">
      <w:pPr>
        <w:spacing w:after="240" w:line="240" w:lineRule="auto"/>
        <w:ind w:left="720"/>
      </w:pPr>
    </w:p>
    <w:p w14:paraId="37B4E4F8" w14:textId="77777777" w:rsidR="00C14D62" w:rsidRDefault="00C14D62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4C2634A5" w14:textId="77777777" w:rsidR="00C14D62" w:rsidRPr="008D139E" w:rsidRDefault="00C14D62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8D139E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8D139E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8D139E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8D139E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8D139E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8D139E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8D139E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8D139E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8D139E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8D139E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9">
        <w:r w:rsidRPr="008D139E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8D139E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8D139E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D139E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8D139E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8D139E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8D139E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8D139E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0">
        <w:r w:rsidRPr="008D139E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8D139E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</w:rPr>
      </w:pPr>
      <w:r w:rsidRPr="008D139E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8D139E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8D139E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83E3" w14:textId="77777777" w:rsidR="009C6043" w:rsidRDefault="009C6043">
      <w:pPr>
        <w:spacing w:after="0" w:line="240" w:lineRule="auto"/>
      </w:pPr>
      <w:r>
        <w:separator/>
      </w:r>
    </w:p>
  </w:endnote>
  <w:endnote w:type="continuationSeparator" w:id="0">
    <w:p w14:paraId="33D24124" w14:textId="77777777" w:rsidR="009C6043" w:rsidRDefault="009C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EDB1" w14:textId="77777777" w:rsidR="009C6043" w:rsidRDefault="009C6043">
      <w:pPr>
        <w:spacing w:after="0" w:line="240" w:lineRule="auto"/>
      </w:pPr>
      <w:r>
        <w:separator/>
      </w:r>
    </w:p>
  </w:footnote>
  <w:footnote w:type="continuationSeparator" w:id="0">
    <w:p w14:paraId="735C7975" w14:textId="77777777" w:rsidR="009C6043" w:rsidRDefault="009C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EFC"/>
    <w:multiLevelType w:val="multilevel"/>
    <w:tmpl w:val="59F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67A0"/>
    <w:multiLevelType w:val="multilevel"/>
    <w:tmpl w:val="801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5BD"/>
    <w:multiLevelType w:val="multilevel"/>
    <w:tmpl w:val="3BE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1F8"/>
    <w:multiLevelType w:val="multilevel"/>
    <w:tmpl w:val="553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91744"/>
    <w:multiLevelType w:val="multilevel"/>
    <w:tmpl w:val="5E9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337B0"/>
    <w:multiLevelType w:val="multilevel"/>
    <w:tmpl w:val="358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D05"/>
    <w:multiLevelType w:val="multilevel"/>
    <w:tmpl w:val="38E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A07C3"/>
    <w:multiLevelType w:val="multilevel"/>
    <w:tmpl w:val="CB3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C133D"/>
    <w:multiLevelType w:val="hybridMultilevel"/>
    <w:tmpl w:val="5906C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0C4B12"/>
    <w:multiLevelType w:val="multilevel"/>
    <w:tmpl w:val="6E5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67C99"/>
    <w:multiLevelType w:val="hybridMultilevel"/>
    <w:tmpl w:val="A3B4B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D1CFD"/>
    <w:multiLevelType w:val="multilevel"/>
    <w:tmpl w:val="956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45EDE"/>
    <w:multiLevelType w:val="multilevel"/>
    <w:tmpl w:val="838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17146"/>
    <w:multiLevelType w:val="multilevel"/>
    <w:tmpl w:val="D4C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A29B1"/>
    <w:multiLevelType w:val="multilevel"/>
    <w:tmpl w:val="52F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F043A"/>
    <w:multiLevelType w:val="multilevel"/>
    <w:tmpl w:val="955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93137"/>
    <w:multiLevelType w:val="multilevel"/>
    <w:tmpl w:val="A752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B3F9C"/>
    <w:multiLevelType w:val="multilevel"/>
    <w:tmpl w:val="F1D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124C4"/>
    <w:multiLevelType w:val="multilevel"/>
    <w:tmpl w:val="782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70910">
    <w:abstractNumId w:val="13"/>
  </w:num>
  <w:num w:numId="2" w16cid:durableId="325791210">
    <w:abstractNumId w:val="4"/>
  </w:num>
  <w:num w:numId="3" w16cid:durableId="345985747">
    <w:abstractNumId w:val="0"/>
  </w:num>
  <w:num w:numId="4" w16cid:durableId="1402168415">
    <w:abstractNumId w:val="1"/>
  </w:num>
  <w:num w:numId="5" w16cid:durableId="817577011">
    <w:abstractNumId w:val="10"/>
  </w:num>
  <w:num w:numId="6" w16cid:durableId="281308459">
    <w:abstractNumId w:val="12"/>
  </w:num>
  <w:num w:numId="7" w16cid:durableId="1115254714">
    <w:abstractNumId w:val="8"/>
  </w:num>
  <w:num w:numId="8" w16cid:durableId="1102072716">
    <w:abstractNumId w:val="3"/>
  </w:num>
  <w:num w:numId="9" w16cid:durableId="1202616">
    <w:abstractNumId w:val="5"/>
  </w:num>
  <w:num w:numId="10" w16cid:durableId="903682135">
    <w:abstractNumId w:val="2"/>
  </w:num>
  <w:num w:numId="11" w16cid:durableId="864097442">
    <w:abstractNumId w:val="9"/>
  </w:num>
  <w:num w:numId="12" w16cid:durableId="157499845">
    <w:abstractNumId w:val="11"/>
  </w:num>
  <w:num w:numId="13" w16cid:durableId="1380206314">
    <w:abstractNumId w:val="21"/>
  </w:num>
  <w:num w:numId="14" w16cid:durableId="799571764">
    <w:abstractNumId w:val="14"/>
  </w:num>
  <w:num w:numId="15" w16cid:durableId="2074543705">
    <w:abstractNumId w:val="18"/>
  </w:num>
  <w:num w:numId="16" w16cid:durableId="1440756218">
    <w:abstractNumId w:val="20"/>
  </w:num>
  <w:num w:numId="17" w16cid:durableId="391347983">
    <w:abstractNumId w:val="6"/>
  </w:num>
  <w:num w:numId="18" w16cid:durableId="510876363">
    <w:abstractNumId w:val="15"/>
  </w:num>
  <w:num w:numId="19" w16cid:durableId="855849327">
    <w:abstractNumId w:val="17"/>
  </w:num>
  <w:num w:numId="20" w16cid:durableId="263421049">
    <w:abstractNumId w:val="7"/>
  </w:num>
  <w:num w:numId="21" w16cid:durableId="1059791258">
    <w:abstractNumId w:val="16"/>
  </w:num>
  <w:num w:numId="22" w16cid:durableId="1439909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003F1"/>
    <w:rsid w:val="000139F2"/>
    <w:rsid w:val="00060BB3"/>
    <w:rsid w:val="000616F3"/>
    <w:rsid w:val="00064056"/>
    <w:rsid w:val="00064187"/>
    <w:rsid w:val="00067104"/>
    <w:rsid w:val="00083DD2"/>
    <w:rsid w:val="0009413A"/>
    <w:rsid w:val="000A347E"/>
    <w:rsid w:val="000A3D75"/>
    <w:rsid w:val="000C5B6D"/>
    <w:rsid w:val="000E6193"/>
    <w:rsid w:val="000F05EA"/>
    <w:rsid w:val="00134560"/>
    <w:rsid w:val="0013483F"/>
    <w:rsid w:val="0013609F"/>
    <w:rsid w:val="00156A76"/>
    <w:rsid w:val="00160CED"/>
    <w:rsid w:val="00167C96"/>
    <w:rsid w:val="00192A77"/>
    <w:rsid w:val="001A163F"/>
    <w:rsid w:val="001A6C59"/>
    <w:rsid w:val="001D43D9"/>
    <w:rsid w:val="001D6827"/>
    <w:rsid w:val="001E18AE"/>
    <w:rsid w:val="001F4905"/>
    <w:rsid w:val="00202C72"/>
    <w:rsid w:val="00231CCD"/>
    <w:rsid w:val="0026227B"/>
    <w:rsid w:val="0026527F"/>
    <w:rsid w:val="0028088B"/>
    <w:rsid w:val="00290110"/>
    <w:rsid w:val="002A2A7D"/>
    <w:rsid w:val="002A65B2"/>
    <w:rsid w:val="002E5273"/>
    <w:rsid w:val="002F2B52"/>
    <w:rsid w:val="00306C51"/>
    <w:rsid w:val="00325FFC"/>
    <w:rsid w:val="00341FF7"/>
    <w:rsid w:val="0037257F"/>
    <w:rsid w:val="00377EAE"/>
    <w:rsid w:val="003A45B7"/>
    <w:rsid w:val="003A63B0"/>
    <w:rsid w:val="003A78FA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B0733"/>
    <w:rsid w:val="004D0A01"/>
    <w:rsid w:val="004E333F"/>
    <w:rsid w:val="0050035E"/>
    <w:rsid w:val="00511D04"/>
    <w:rsid w:val="00512057"/>
    <w:rsid w:val="00520C65"/>
    <w:rsid w:val="00525C66"/>
    <w:rsid w:val="00556C37"/>
    <w:rsid w:val="00586109"/>
    <w:rsid w:val="005A75F5"/>
    <w:rsid w:val="005B2E62"/>
    <w:rsid w:val="005B33FE"/>
    <w:rsid w:val="005C0F95"/>
    <w:rsid w:val="005F6F64"/>
    <w:rsid w:val="00617085"/>
    <w:rsid w:val="006407CC"/>
    <w:rsid w:val="006429B4"/>
    <w:rsid w:val="00661DB3"/>
    <w:rsid w:val="006664A1"/>
    <w:rsid w:val="00670921"/>
    <w:rsid w:val="00677BA2"/>
    <w:rsid w:val="006A69E0"/>
    <w:rsid w:val="006C3726"/>
    <w:rsid w:val="006D23D1"/>
    <w:rsid w:val="006D7B20"/>
    <w:rsid w:val="006E2A58"/>
    <w:rsid w:val="006F5768"/>
    <w:rsid w:val="006F5F1C"/>
    <w:rsid w:val="006F7C67"/>
    <w:rsid w:val="007064A8"/>
    <w:rsid w:val="0073712E"/>
    <w:rsid w:val="00746AB1"/>
    <w:rsid w:val="007655E9"/>
    <w:rsid w:val="0077081E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4140"/>
    <w:rsid w:val="008079BD"/>
    <w:rsid w:val="0082462E"/>
    <w:rsid w:val="0085654B"/>
    <w:rsid w:val="00867FC4"/>
    <w:rsid w:val="00871F8D"/>
    <w:rsid w:val="00887F78"/>
    <w:rsid w:val="008955B8"/>
    <w:rsid w:val="00896C42"/>
    <w:rsid w:val="008D139E"/>
    <w:rsid w:val="008E64E7"/>
    <w:rsid w:val="008F35B8"/>
    <w:rsid w:val="00947D51"/>
    <w:rsid w:val="0095395B"/>
    <w:rsid w:val="009670A2"/>
    <w:rsid w:val="00974D20"/>
    <w:rsid w:val="009958FE"/>
    <w:rsid w:val="009A05D1"/>
    <w:rsid w:val="009A3116"/>
    <w:rsid w:val="009A33F6"/>
    <w:rsid w:val="009B43DC"/>
    <w:rsid w:val="009B734B"/>
    <w:rsid w:val="009C6043"/>
    <w:rsid w:val="009C7ADA"/>
    <w:rsid w:val="009E051F"/>
    <w:rsid w:val="009E0799"/>
    <w:rsid w:val="009E3D03"/>
    <w:rsid w:val="009E3F13"/>
    <w:rsid w:val="009F3C96"/>
    <w:rsid w:val="00A03A9B"/>
    <w:rsid w:val="00A2372A"/>
    <w:rsid w:val="00A52C57"/>
    <w:rsid w:val="00A737D8"/>
    <w:rsid w:val="00A74CAE"/>
    <w:rsid w:val="00AB59EA"/>
    <w:rsid w:val="00AF6330"/>
    <w:rsid w:val="00B26EA2"/>
    <w:rsid w:val="00B55485"/>
    <w:rsid w:val="00B65552"/>
    <w:rsid w:val="00B87DB5"/>
    <w:rsid w:val="00B93423"/>
    <w:rsid w:val="00BA3C11"/>
    <w:rsid w:val="00BB797B"/>
    <w:rsid w:val="00BC0170"/>
    <w:rsid w:val="00BE6297"/>
    <w:rsid w:val="00BF0580"/>
    <w:rsid w:val="00C04BCC"/>
    <w:rsid w:val="00C07512"/>
    <w:rsid w:val="00C14D62"/>
    <w:rsid w:val="00C2023A"/>
    <w:rsid w:val="00C21A08"/>
    <w:rsid w:val="00C231DB"/>
    <w:rsid w:val="00C37500"/>
    <w:rsid w:val="00C42C82"/>
    <w:rsid w:val="00C52458"/>
    <w:rsid w:val="00C60ABC"/>
    <w:rsid w:val="00C73D1C"/>
    <w:rsid w:val="00C770B6"/>
    <w:rsid w:val="00C82BC7"/>
    <w:rsid w:val="00C854D6"/>
    <w:rsid w:val="00C953F7"/>
    <w:rsid w:val="00C96549"/>
    <w:rsid w:val="00CA08C5"/>
    <w:rsid w:val="00CA2ABD"/>
    <w:rsid w:val="00D000F2"/>
    <w:rsid w:val="00D65409"/>
    <w:rsid w:val="00D67AF9"/>
    <w:rsid w:val="00DA2677"/>
    <w:rsid w:val="00DA74BE"/>
    <w:rsid w:val="00E101DA"/>
    <w:rsid w:val="00E57465"/>
    <w:rsid w:val="00E77B08"/>
    <w:rsid w:val="00E80A31"/>
    <w:rsid w:val="00E86001"/>
    <w:rsid w:val="00EA326A"/>
    <w:rsid w:val="00EA75FD"/>
    <w:rsid w:val="00EE0EB3"/>
    <w:rsid w:val="00EE50AE"/>
    <w:rsid w:val="00F103E1"/>
    <w:rsid w:val="00F1077C"/>
    <w:rsid w:val="00F140FB"/>
    <w:rsid w:val="00F15E58"/>
    <w:rsid w:val="00F4337C"/>
    <w:rsid w:val="00F535F0"/>
    <w:rsid w:val="00F67CE4"/>
    <w:rsid w:val="00F9063A"/>
    <w:rsid w:val="00F917D2"/>
    <w:rsid w:val="00F978A6"/>
    <w:rsid w:val="00FA20A7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2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  <w:style w:type="character" w:customStyle="1" w:styleId="citation-88">
    <w:name w:val="citation-88"/>
    <w:basedOn w:val="Standardnpsmoodstavce"/>
    <w:rsid w:val="00DA2677"/>
  </w:style>
  <w:style w:type="character" w:customStyle="1" w:styleId="citation-87">
    <w:name w:val="citation-87"/>
    <w:basedOn w:val="Standardnpsmoodstavce"/>
    <w:rsid w:val="00DA2677"/>
  </w:style>
  <w:style w:type="character" w:customStyle="1" w:styleId="citation-86">
    <w:name w:val="citation-86"/>
    <w:basedOn w:val="Standardnpsmoodstavce"/>
    <w:rsid w:val="00DA2677"/>
  </w:style>
  <w:style w:type="character" w:customStyle="1" w:styleId="Nadpis3Char">
    <w:name w:val="Nadpis 3 Char"/>
    <w:basedOn w:val="Standardnpsmoodstavce"/>
    <w:link w:val="Nadpis3"/>
    <w:uiPriority w:val="9"/>
    <w:semiHidden/>
    <w:rsid w:val="00DA2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62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elektricky-tlakovy-hrnec/bpr700b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4</cp:revision>
  <dcterms:created xsi:type="dcterms:W3CDTF">2026-02-24T11:49:00Z</dcterms:created>
  <dcterms:modified xsi:type="dcterms:W3CDTF">2026-02-24T12:31:00Z</dcterms:modified>
  <dc:language>cs-CZ</dc:language>
</cp:coreProperties>
</file>