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67C83" w14:textId="77777777" w:rsidR="00940000" w:rsidRPr="007877B1" w:rsidRDefault="00940000" w:rsidP="0076273C">
      <w:pPr>
        <w:jc w:val="center"/>
        <w:rPr>
          <w:rFonts w:ascii="Tahoma" w:hAnsi="Tahoma" w:cs="Tahoma"/>
        </w:rPr>
      </w:pPr>
      <w:bookmarkStart w:id="0" w:name="_Hlk199946154"/>
    </w:p>
    <w:p w14:paraId="790A8F0D" w14:textId="2B334839" w:rsidR="0076273C" w:rsidRPr="008369CC" w:rsidRDefault="0076273C" w:rsidP="0076273C">
      <w:pPr>
        <w:jc w:val="center"/>
        <w:rPr>
          <w:rFonts w:ascii="Tahoma" w:hAnsi="Tahoma" w:cs="Tahoma"/>
          <w:sz w:val="28"/>
          <w:szCs w:val="28"/>
        </w:rPr>
      </w:pPr>
      <w:r w:rsidRPr="008369CC">
        <w:rPr>
          <w:rFonts w:ascii="Tahoma" w:hAnsi="Tahoma" w:cs="Tahoma"/>
          <w:sz w:val="28"/>
          <w:szCs w:val="28"/>
        </w:rPr>
        <w:t>TISKOVÁ ZPRÁVA</w:t>
      </w:r>
    </w:p>
    <w:p w14:paraId="5B6A75CC" w14:textId="038B90A2" w:rsidR="0076273C" w:rsidRDefault="0076273C" w:rsidP="0076273C">
      <w:pPr>
        <w:rPr>
          <w:rFonts w:ascii="Tahoma" w:hAnsi="Tahoma" w:cs="Tahoma"/>
          <w:b/>
          <w:bCs/>
          <w:sz w:val="28"/>
          <w:szCs w:val="28"/>
        </w:rPr>
      </w:pPr>
    </w:p>
    <w:p w14:paraId="33E0E832" w14:textId="07BADA1C" w:rsidR="00286354" w:rsidRDefault="00011491" w:rsidP="00CF3DC8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011491">
        <w:rPr>
          <w:rFonts w:ascii="Tahoma" w:hAnsi="Tahoma" w:cs="Tahoma"/>
          <w:b/>
          <w:bCs/>
          <w:sz w:val="28"/>
          <w:szCs w:val="28"/>
        </w:rPr>
        <w:t xml:space="preserve">Předpovědi pro rok 2026: </w:t>
      </w:r>
      <w:r w:rsidR="00E421EF">
        <w:rPr>
          <w:rFonts w:ascii="Tahoma" w:hAnsi="Tahoma" w:cs="Tahoma"/>
          <w:b/>
          <w:bCs/>
          <w:sz w:val="28"/>
          <w:szCs w:val="28"/>
        </w:rPr>
        <w:br/>
      </w:r>
      <w:r w:rsidR="002B78D5" w:rsidRPr="002B78D5">
        <w:rPr>
          <w:rFonts w:ascii="Tahoma" w:hAnsi="Tahoma" w:cs="Tahoma"/>
          <w:b/>
          <w:bCs/>
          <w:sz w:val="28"/>
          <w:szCs w:val="28"/>
        </w:rPr>
        <w:t>AI, licencování a datová suverenita změní IT strategie</w:t>
      </w:r>
    </w:p>
    <w:p w14:paraId="7B6FE881" w14:textId="77777777" w:rsidR="00011491" w:rsidRDefault="00011491" w:rsidP="00CF3DC8">
      <w:pPr>
        <w:jc w:val="center"/>
        <w:rPr>
          <w:rFonts w:ascii="Tahoma" w:hAnsi="Tahoma" w:cs="Tahoma"/>
          <w:sz w:val="22"/>
          <w:szCs w:val="22"/>
        </w:rPr>
      </w:pPr>
    </w:p>
    <w:p w14:paraId="0DB3C797" w14:textId="1641E724" w:rsidR="00E421EF" w:rsidRPr="00D11103" w:rsidRDefault="00CF3DC8" w:rsidP="00E421EF">
      <w:pPr>
        <w:rPr>
          <w:rFonts w:ascii="Tahoma" w:eastAsia="Proxima Nova" w:hAnsi="Tahoma" w:cs="Tahoma"/>
          <w:b/>
          <w:bCs/>
          <w:sz w:val="22"/>
          <w:szCs w:val="22"/>
        </w:rPr>
      </w:pPr>
      <w:r w:rsidRPr="008D3DE3">
        <w:rPr>
          <w:rFonts w:ascii="Tahoma" w:hAnsi="Tahoma" w:cs="Tahoma"/>
          <w:sz w:val="22"/>
          <w:szCs w:val="22"/>
        </w:rPr>
        <w:t>Praha,</w:t>
      </w:r>
      <w:r w:rsidR="00D11103" w:rsidRPr="008D3DE3">
        <w:rPr>
          <w:rFonts w:ascii="Tahoma" w:hAnsi="Tahoma" w:cs="Tahoma"/>
          <w:sz w:val="22"/>
          <w:szCs w:val="22"/>
        </w:rPr>
        <w:t xml:space="preserve"> 17. prosince </w:t>
      </w:r>
      <w:r w:rsidRPr="008D3DE3">
        <w:rPr>
          <w:rFonts w:ascii="Tahoma" w:hAnsi="Tahoma" w:cs="Tahoma"/>
          <w:sz w:val="22"/>
          <w:szCs w:val="22"/>
        </w:rPr>
        <w:t>2025 –</w:t>
      </w:r>
      <w:r w:rsidR="007C297F" w:rsidRPr="008D3DE3">
        <w:rPr>
          <w:rFonts w:ascii="Tahoma" w:hAnsi="Tahoma" w:cs="Tahoma"/>
          <w:sz w:val="22"/>
          <w:szCs w:val="22"/>
        </w:rPr>
        <w:t xml:space="preserve"> </w:t>
      </w:r>
      <w:r w:rsidR="00E421EF" w:rsidRPr="008D3DE3">
        <w:rPr>
          <w:rFonts w:ascii="Tahoma" w:eastAsia="Proxima Nova" w:hAnsi="Tahoma" w:cs="Tahoma"/>
          <w:b/>
          <w:bCs/>
          <w:sz w:val="22"/>
          <w:szCs w:val="22"/>
        </w:rPr>
        <w:t>Po letech rychlých digitálních změn se rok 2026 rýsuje jako klíčový pro formování IT strategií. Kombinace rozvoje umělé inteligence, změn v licencování a rostoucích požadavků na datovou suverenitu nutí organizace přehodnocovat technologické investice. S očekávaným růstem globálních výdajů na IT je stále větší důraz kladen na měřitelné výsledky a návratnost.</w:t>
      </w:r>
    </w:p>
    <w:p w14:paraId="08AAEF71" w14:textId="77777777" w:rsidR="00E421EF" w:rsidRPr="00E421EF" w:rsidRDefault="00E421EF" w:rsidP="00E421EF">
      <w:pPr>
        <w:rPr>
          <w:rFonts w:ascii="Tahoma" w:eastAsia="Proxima Nova" w:hAnsi="Tahoma" w:cs="Tahoma"/>
          <w:b/>
          <w:bCs/>
          <w:sz w:val="22"/>
          <w:szCs w:val="22"/>
        </w:rPr>
      </w:pPr>
    </w:p>
    <w:p w14:paraId="44FC9EE2" w14:textId="77777777" w:rsidR="00E421EF" w:rsidRDefault="00E421EF" w:rsidP="00E421EF">
      <w:pPr>
        <w:rPr>
          <w:rFonts w:ascii="Tahoma" w:eastAsia="Proxima Nova" w:hAnsi="Tahoma" w:cs="Tahoma"/>
          <w:sz w:val="22"/>
          <w:szCs w:val="22"/>
        </w:rPr>
      </w:pPr>
      <w:r w:rsidRPr="00E421EF">
        <w:rPr>
          <w:rFonts w:ascii="Tahoma" w:eastAsia="Proxima Nova" w:hAnsi="Tahoma" w:cs="Tahoma"/>
          <w:sz w:val="22"/>
          <w:szCs w:val="22"/>
        </w:rPr>
        <w:t>Výdaje na IT půjdou především na umělou inteligenci, rozšiřování datových center a cykly obnovy zařízení. AI se posouvá z experimentální fáze do běžného provozu a stává se hlavním motorem infrastrukturních i provozních změn. Podle společnosti Deloitte bude do roku 2026 inferenční výpočetní výkon tvořit téměř dvě třetiny celkového výkonu AI, což potvrzuje její masové nasazení v podnikovém prostředí.</w:t>
      </w:r>
    </w:p>
    <w:p w14:paraId="2AFE8036" w14:textId="77777777" w:rsidR="00E421EF" w:rsidRPr="00E421EF" w:rsidRDefault="00E421EF" w:rsidP="00E421EF">
      <w:pPr>
        <w:rPr>
          <w:rFonts w:ascii="Tahoma" w:eastAsia="Proxima Nova" w:hAnsi="Tahoma" w:cs="Tahoma"/>
          <w:sz w:val="22"/>
          <w:szCs w:val="22"/>
        </w:rPr>
      </w:pPr>
    </w:p>
    <w:p w14:paraId="2A681254" w14:textId="77777777" w:rsidR="00E421EF" w:rsidRPr="00E421EF" w:rsidRDefault="00E421EF" w:rsidP="00E421EF">
      <w:pPr>
        <w:rPr>
          <w:rFonts w:ascii="Tahoma" w:eastAsia="Proxima Nova" w:hAnsi="Tahoma" w:cs="Tahoma"/>
          <w:b/>
          <w:bCs/>
          <w:sz w:val="22"/>
          <w:szCs w:val="22"/>
        </w:rPr>
      </w:pPr>
      <w:r w:rsidRPr="00E421EF">
        <w:rPr>
          <w:rFonts w:ascii="Tahoma" w:eastAsia="Proxima Nova" w:hAnsi="Tahoma" w:cs="Tahoma"/>
          <w:b/>
          <w:bCs/>
          <w:sz w:val="22"/>
          <w:szCs w:val="22"/>
        </w:rPr>
        <w:t>Výkon a efektivita</w:t>
      </w:r>
    </w:p>
    <w:p w14:paraId="7593EC44" w14:textId="77777777" w:rsidR="00E421EF" w:rsidRDefault="00E421EF" w:rsidP="00E421EF">
      <w:pPr>
        <w:rPr>
          <w:rFonts w:ascii="Tahoma" w:eastAsia="Proxima Nova" w:hAnsi="Tahoma" w:cs="Tahoma"/>
          <w:sz w:val="22"/>
          <w:szCs w:val="22"/>
        </w:rPr>
      </w:pPr>
      <w:r w:rsidRPr="00E421EF">
        <w:rPr>
          <w:rFonts w:ascii="Tahoma" w:eastAsia="Proxima Nova" w:hAnsi="Tahoma" w:cs="Tahoma"/>
          <w:sz w:val="22"/>
          <w:szCs w:val="22"/>
        </w:rPr>
        <w:t>Zároveň rostou nároky na výkon. Technologická doporučení jsou stále častěji hodnocena podle jasných kritérií návratnosti investic a schopnosti zvyšovat produktivitu, automatizaci, bezpečnost a provozní efektivitu.</w:t>
      </w:r>
    </w:p>
    <w:p w14:paraId="1DE3E9DA" w14:textId="77777777" w:rsidR="00D11103" w:rsidRPr="00E421EF" w:rsidRDefault="00D11103" w:rsidP="00E421EF">
      <w:pPr>
        <w:rPr>
          <w:rFonts w:ascii="Tahoma" w:eastAsia="Proxima Nova" w:hAnsi="Tahoma" w:cs="Tahoma"/>
          <w:sz w:val="22"/>
          <w:szCs w:val="22"/>
        </w:rPr>
      </w:pPr>
    </w:p>
    <w:p w14:paraId="46DBDF0B" w14:textId="77777777" w:rsidR="00E421EF" w:rsidRDefault="00E421EF" w:rsidP="00E421EF">
      <w:pPr>
        <w:rPr>
          <w:rFonts w:ascii="Tahoma" w:eastAsia="Proxima Nova" w:hAnsi="Tahoma" w:cs="Tahoma"/>
          <w:sz w:val="22"/>
          <w:szCs w:val="22"/>
        </w:rPr>
      </w:pPr>
      <w:r w:rsidRPr="00E421EF">
        <w:rPr>
          <w:rFonts w:ascii="Tahoma" w:eastAsia="Proxima Nova" w:hAnsi="Tahoma" w:cs="Tahoma"/>
          <w:sz w:val="22"/>
          <w:szCs w:val="22"/>
        </w:rPr>
        <w:t>Výrazně se to projevuje v prostředích Microsoftu. Konec podpory Windows 10 v říjnu urychlil rozhodování o migraci a obnově hardwaru, které se promítají do rozpočtů na rok 2026. Odkládání těchto kroků zkracuje časové plány a zvyšuje náklady i bezpečnostní rizika.</w:t>
      </w:r>
    </w:p>
    <w:p w14:paraId="490B2977" w14:textId="77777777" w:rsidR="00D11103" w:rsidRPr="00E421EF" w:rsidRDefault="00D11103" w:rsidP="00E421EF">
      <w:pPr>
        <w:rPr>
          <w:rFonts w:ascii="Tahoma" w:eastAsia="Proxima Nova" w:hAnsi="Tahoma" w:cs="Tahoma"/>
          <w:sz w:val="22"/>
          <w:szCs w:val="22"/>
        </w:rPr>
      </w:pPr>
    </w:p>
    <w:p w14:paraId="7C088A06" w14:textId="77777777" w:rsidR="00E421EF" w:rsidRDefault="00E421EF" w:rsidP="00E421EF">
      <w:pPr>
        <w:rPr>
          <w:rFonts w:ascii="Tahoma" w:eastAsia="Proxima Nova" w:hAnsi="Tahoma" w:cs="Tahoma"/>
          <w:sz w:val="22"/>
          <w:szCs w:val="22"/>
        </w:rPr>
      </w:pPr>
      <w:r w:rsidRPr="00E421EF">
        <w:rPr>
          <w:rFonts w:ascii="Tahoma" w:eastAsia="Proxima Nova" w:hAnsi="Tahoma" w:cs="Tahoma"/>
          <w:sz w:val="22"/>
          <w:szCs w:val="22"/>
        </w:rPr>
        <w:t xml:space="preserve">Přechod na Windows 11 zároveň probíhá v kontextu realističtějšího plánování životního cyklu IT. Současně se zvyšuje složitost licencování. Potenciální změny v licencování společnosti Microsoft se dotýkají cloudových, lokálních i hybridních prostředí, zatímco funkce umělé inteligence, jako je </w:t>
      </w:r>
      <w:proofErr w:type="spellStart"/>
      <w:r w:rsidRPr="00E421EF">
        <w:rPr>
          <w:rFonts w:ascii="Tahoma" w:eastAsia="Proxima Nova" w:hAnsi="Tahoma" w:cs="Tahoma"/>
          <w:sz w:val="22"/>
          <w:szCs w:val="22"/>
        </w:rPr>
        <w:t>Copilot</w:t>
      </w:r>
      <w:proofErr w:type="spellEnd"/>
      <w:r w:rsidRPr="00E421EF">
        <w:rPr>
          <w:rFonts w:ascii="Tahoma" w:eastAsia="Proxima Nova" w:hAnsi="Tahoma" w:cs="Tahoma"/>
          <w:sz w:val="22"/>
          <w:szCs w:val="22"/>
        </w:rPr>
        <w:t>, vstupují do fáze zaměřené na výkon – kdy je nutné jasně prokázat dopad na produktivitu, přijetí a bezpečnostní přínosy.</w:t>
      </w:r>
    </w:p>
    <w:p w14:paraId="3015323E" w14:textId="77777777" w:rsidR="00E421EF" w:rsidRPr="00E421EF" w:rsidRDefault="00E421EF" w:rsidP="00E421EF">
      <w:pPr>
        <w:rPr>
          <w:rFonts w:ascii="Tahoma" w:eastAsia="Proxima Nova" w:hAnsi="Tahoma" w:cs="Tahoma"/>
          <w:sz w:val="22"/>
          <w:szCs w:val="22"/>
        </w:rPr>
      </w:pPr>
    </w:p>
    <w:p w14:paraId="6EA410FF" w14:textId="77777777" w:rsidR="00E421EF" w:rsidRPr="00E421EF" w:rsidRDefault="00E421EF" w:rsidP="00E421EF">
      <w:pPr>
        <w:rPr>
          <w:rFonts w:ascii="Tahoma" w:eastAsia="Proxima Nova" w:hAnsi="Tahoma" w:cs="Tahoma"/>
          <w:b/>
          <w:bCs/>
          <w:sz w:val="22"/>
          <w:szCs w:val="22"/>
        </w:rPr>
      </w:pPr>
      <w:r w:rsidRPr="00E421EF">
        <w:rPr>
          <w:rFonts w:ascii="Tahoma" w:eastAsia="Proxima Nova" w:hAnsi="Tahoma" w:cs="Tahoma"/>
          <w:b/>
          <w:bCs/>
          <w:sz w:val="22"/>
          <w:szCs w:val="22"/>
        </w:rPr>
        <w:t>AI kam se podíváš</w:t>
      </w:r>
    </w:p>
    <w:p w14:paraId="272CFA8D" w14:textId="77777777" w:rsidR="00E421EF" w:rsidRDefault="00E421EF" w:rsidP="00E421EF">
      <w:pPr>
        <w:rPr>
          <w:rFonts w:ascii="Tahoma" w:eastAsia="Proxima Nova" w:hAnsi="Tahoma" w:cs="Tahoma"/>
          <w:sz w:val="22"/>
          <w:szCs w:val="22"/>
        </w:rPr>
      </w:pPr>
      <w:r w:rsidRPr="00E421EF">
        <w:rPr>
          <w:rFonts w:ascii="Tahoma" w:eastAsia="Proxima Nova" w:hAnsi="Tahoma" w:cs="Tahoma"/>
          <w:sz w:val="22"/>
          <w:szCs w:val="22"/>
        </w:rPr>
        <w:t>Do roku 2026 se očekává výrazné zdokonalení AI. Generativní umělá inteligence a agenti umělé inteligence způsobí do roku 2027 zásah v oblasti nástrojů pro podporu produktivity v hodnotě 58 miliard dolarů, což bude první zásadní výzvou pro mainstreamové platformy za poslední tři desetiletí. Podle stejného zdroje se očekává, že do roku 2027 bude 75 % náborových procesů zahrnovat hodnocení znalostí umělé inteligence, což podtrhuje, jak hluboce se umělá inteligence stává součástí každodenní práce.</w:t>
      </w:r>
    </w:p>
    <w:p w14:paraId="32B876E2" w14:textId="77777777" w:rsidR="00D11103" w:rsidRPr="00E421EF" w:rsidRDefault="00D11103" w:rsidP="00E421EF">
      <w:pPr>
        <w:rPr>
          <w:rFonts w:ascii="Tahoma" w:eastAsia="Proxima Nova" w:hAnsi="Tahoma" w:cs="Tahoma"/>
          <w:sz w:val="22"/>
          <w:szCs w:val="22"/>
        </w:rPr>
      </w:pPr>
    </w:p>
    <w:p w14:paraId="0394CD11" w14:textId="77777777" w:rsidR="00E421EF" w:rsidRPr="00E421EF" w:rsidRDefault="00E421EF" w:rsidP="00E421EF">
      <w:pPr>
        <w:rPr>
          <w:rFonts w:ascii="Tahoma" w:eastAsia="Proxima Nova" w:hAnsi="Tahoma" w:cs="Tahoma"/>
          <w:sz w:val="22"/>
          <w:szCs w:val="22"/>
        </w:rPr>
      </w:pPr>
      <w:r w:rsidRPr="00E421EF">
        <w:rPr>
          <w:rFonts w:ascii="Tahoma" w:eastAsia="Proxima Nova" w:hAnsi="Tahoma" w:cs="Tahoma"/>
          <w:sz w:val="22"/>
          <w:szCs w:val="22"/>
        </w:rPr>
        <w:t>Pro organizace to vytváří nové očekávání ohledně měřitelných výsledků. Iniciativy v oblasti AI jsou stále častěji hodnoceny prostřednictvím konkrétních KPI vázaných na role, technologickou vyspělost a realistické křivky přijetí. Integrace do každodenních pracovních postupů se stává rozhodujícím faktorem, který odlišuje vysoce účinné nasazení AI od izolovaných nástrojů, jež mají potíže s přinášením hodnoty.</w:t>
      </w:r>
    </w:p>
    <w:p w14:paraId="73F02B1F" w14:textId="77777777" w:rsidR="00D11103" w:rsidRDefault="00D11103" w:rsidP="00E421EF">
      <w:pPr>
        <w:rPr>
          <w:rFonts w:ascii="Tahoma" w:eastAsia="Proxima Nova" w:hAnsi="Tahoma" w:cs="Tahoma"/>
          <w:b/>
          <w:bCs/>
          <w:sz w:val="22"/>
          <w:szCs w:val="22"/>
        </w:rPr>
      </w:pPr>
    </w:p>
    <w:p w14:paraId="7E8BB07B" w14:textId="69B5865A" w:rsidR="00E421EF" w:rsidRPr="00E421EF" w:rsidRDefault="00E421EF" w:rsidP="00E421EF">
      <w:pPr>
        <w:rPr>
          <w:rFonts w:ascii="Tahoma" w:eastAsia="Proxima Nova" w:hAnsi="Tahoma" w:cs="Tahoma"/>
          <w:b/>
          <w:bCs/>
          <w:sz w:val="22"/>
          <w:szCs w:val="22"/>
        </w:rPr>
      </w:pPr>
      <w:r w:rsidRPr="00E421EF">
        <w:rPr>
          <w:rFonts w:ascii="Tahoma" w:eastAsia="Proxima Nova" w:hAnsi="Tahoma" w:cs="Tahoma"/>
          <w:b/>
          <w:bCs/>
          <w:sz w:val="22"/>
          <w:szCs w:val="22"/>
        </w:rPr>
        <w:t>Soumrak nad současným cloudem</w:t>
      </w:r>
    </w:p>
    <w:p w14:paraId="4FFE5E70" w14:textId="77777777" w:rsidR="00E421EF" w:rsidRPr="00E421EF" w:rsidRDefault="00E421EF" w:rsidP="00E421EF">
      <w:pPr>
        <w:rPr>
          <w:rFonts w:ascii="Tahoma" w:eastAsia="Proxima Nova" w:hAnsi="Tahoma" w:cs="Tahoma"/>
          <w:sz w:val="22"/>
          <w:szCs w:val="22"/>
        </w:rPr>
      </w:pPr>
      <w:r w:rsidRPr="00E421EF">
        <w:rPr>
          <w:rFonts w:ascii="Tahoma" w:eastAsia="Proxima Nova" w:hAnsi="Tahoma" w:cs="Tahoma"/>
          <w:sz w:val="22"/>
          <w:szCs w:val="22"/>
        </w:rPr>
        <w:t>Strategie cloudu je v Evropě stále více ovlivňována požadavky na suverenitu. Regulační a geopolitické faktory vedou k větší kontrole nad daty a infrastrukturou. Očekává se, že investice do suverénních AI systémů v roce 2026 výrazně porostou, přičemž významnou roli bude hrát Evropská unie. Organizace proto selektivně repatriují pracovní zátěž do lokálních nebo suverénních cloudů, což má přímý dopad na licencování, dodržování legislativy a plánování infrastruktury.</w:t>
      </w:r>
    </w:p>
    <w:p w14:paraId="6C79BCFC" w14:textId="77777777" w:rsidR="00E421EF" w:rsidRPr="00E421EF" w:rsidRDefault="00E421EF" w:rsidP="00E421EF">
      <w:pPr>
        <w:rPr>
          <w:rFonts w:ascii="Tahoma" w:eastAsia="Proxima Nova" w:hAnsi="Tahoma" w:cs="Tahoma"/>
          <w:sz w:val="22"/>
          <w:szCs w:val="22"/>
        </w:rPr>
      </w:pPr>
      <w:r w:rsidRPr="00E421EF">
        <w:rPr>
          <w:rFonts w:ascii="Tahoma" w:eastAsia="Proxima Nova" w:hAnsi="Tahoma" w:cs="Tahoma"/>
          <w:sz w:val="22"/>
          <w:szCs w:val="22"/>
        </w:rPr>
        <w:lastRenderedPageBreak/>
        <w:t>Tyto změny proměňují IT z nákladového střediska na generátor hodnoty, měřený bezpečností, spolehlivostí, připraveností na AI a dodržováním předpisů. Vzhledem k tomu, že se blíží několik milníků ukončení podpory, stalo se strukturované zadávání zakázek a plánování životního cyklu nezbytné, aby se předešlo ukvapeným rozhodnutím a rozpočtovým šokům.</w:t>
      </w:r>
    </w:p>
    <w:p w14:paraId="777F4734" w14:textId="77777777" w:rsidR="00D11103" w:rsidRDefault="00D11103" w:rsidP="00E421EF">
      <w:pPr>
        <w:rPr>
          <w:rFonts w:ascii="Tahoma" w:eastAsia="Proxima Nova" w:hAnsi="Tahoma" w:cs="Tahoma"/>
          <w:sz w:val="22"/>
          <w:szCs w:val="22"/>
        </w:rPr>
      </w:pPr>
    </w:p>
    <w:p w14:paraId="155408A2" w14:textId="5FB32AD6" w:rsidR="00E421EF" w:rsidRPr="00D11103" w:rsidRDefault="00E421EF" w:rsidP="00E421EF">
      <w:pPr>
        <w:rPr>
          <w:rFonts w:ascii="Tahoma" w:eastAsia="Proxima Nova" w:hAnsi="Tahoma" w:cs="Tahoma"/>
          <w:b/>
          <w:bCs/>
          <w:sz w:val="22"/>
          <w:szCs w:val="22"/>
        </w:rPr>
      </w:pPr>
      <w:r w:rsidRPr="00E421EF">
        <w:rPr>
          <w:rFonts w:ascii="Tahoma" w:eastAsia="Proxima Nova" w:hAnsi="Tahoma" w:cs="Tahoma"/>
          <w:i/>
          <w:iCs/>
          <w:sz w:val="22"/>
          <w:szCs w:val="22"/>
        </w:rPr>
        <w:t>„Skutečná změna, kterou dnes vidíme, není technologická, ale organizační. Umělá inteligence, cloud a moderní platformy přinášejí obrovský potenciál, ale také zvyšují komplexnost. V roce 2026 bude klíčová finanční předvídatelnost, řízení licenčních rizik a dlouhodobá flexibilita,“</w:t>
      </w:r>
      <w:r w:rsidRPr="00E421EF">
        <w:rPr>
          <w:rFonts w:ascii="Tahoma" w:eastAsia="Proxima Nova" w:hAnsi="Tahoma" w:cs="Tahoma"/>
          <w:sz w:val="22"/>
          <w:szCs w:val="22"/>
        </w:rPr>
        <w:t xml:space="preserve"> říká </w:t>
      </w:r>
      <w:r w:rsidRPr="00E421EF">
        <w:rPr>
          <w:rFonts w:ascii="Tahoma" w:eastAsia="Proxima Nova" w:hAnsi="Tahoma" w:cs="Tahoma"/>
          <w:b/>
          <w:bCs/>
          <w:sz w:val="22"/>
          <w:szCs w:val="22"/>
        </w:rPr>
        <w:t xml:space="preserve">Jakub Šulák, zakladatel a CEO společnosti </w:t>
      </w:r>
      <w:proofErr w:type="spellStart"/>
      <w:r w:rsidRPr="00E421EF">
        <w:rPr>
          <w:rFonts w:ascii="Tahoma" w:eastAsia="Proxima Nova" w:hAnsi="Tahoma" w:cs="Tahoma"/>
          <w:b/>
          <w:bCs/>
          <w:sz w:val="22"/>
          <w:szCs w:val="22"/>
        </w:rPr>
        <w:t>Forscope</w:t>
      </w:r>
      <w:proofErr w:type="spellEnd"/>
      <w:r w:rsidRPr="00E421EF">
        <w:rPr>
          <w:rFonts w:ascii="Tahoma" w:eastAsia="Proxima Nova" w:hAnsi="Tahoma" w:cs="Tahoma"/>
          <w:b/>
          <w:bCs/>
          <w:sz w:val="22"/>
          <w:szCs w:val="22"/>
        </w:rPr>
        <w:t>.</w:t>
      </w:r>
    </w:p>
    <w:p w14:paraId="4A92CE78" w14:textId="77777777" w:rsidR="00D11103" w:rsidRPr="00E421EF" w:rsidRDefault="00D11103" w:rsidP="00E421EF">
      <w:pPr>
        <w:rPr>
          <w:rFonts w:ascii="Tahoma" w:eastAsia="Proxima Nova" w:hAnsi="Tahoma" w:cs="Tahoma"/>
          <w:sz w:val="22"/>
          <w:szCs w:val="22"/>
        </w:rPr>
      </w:pPr>
    </w:p>
    <w:p w14:paraId="53DBF6B5" w14:textId="77777777" w:rsidR="00E421EF" w:rsidRDefault="00E421EF" w:rsidP="00E421EF">
      <w:pPr>
        <w:rPr>
          <w:rFonts w:ascii="Tahoma" w:eastAsia="Proxima Nova" w:hAnsi="Tahoma" w:cs="Tahoma"/>
          <w:sz w:val="22"/>
          <w:szCs w:val="22"/>
        </w:rPr>
      </w:pPr>
      <w:r w:rsidRPr="00E421EF">
        <w:rPr>
          <w:rFonts w:ascii="Tahoma" w:eastAsia="Proxima Nova" w:hAnsi="Tahoma" w:cs="Tahoma"/>
          <w:sz w:val="22"/>
          <w:szCs w:val="22"/>
        </w:rPr>
        <w:t>Strategie nákupu proto nabývá na významu. Flexibilní licenční modely a řešení, která zabraňují technologickému uzamčení, umožňují organizacím modernizovat IT bez ztráty kontroly nad rozpočtem.</w:t>
      </w:r>
    </w:p>
    <w:p w14:paraId="2A7F308A" w14:textId="77777777" w:rsidR="00D11103" w:rsidRPr="00E421EF" w:rsidRDefault="00D11103" w:rsidP="00E421EF">
      <w:pPr>
        <w:rPr>
          <w:rFonts w:ascii="Tahoma" w:eastAsia="Proxima Nova" w:hAnsi="Tahoma" w:cs="Tahoma"/>
          <w:sz w:val="22"/>
          <w:szCs w:val="22"/>
        </w:rPr>
      </w:pPr>
    </w:p>
    <w:p w14:paraId="1C5F64D4" w14:textId="6C75F605" w:rsidR="00E421EF" w:rsidRDefault="00E421EF" w:rsidP="00D11103">
      <w:pPr>
        <w:rPr>
          <w:rFonts w:ascii="Tahoma" w:eastAsia="Proxima Nova" w:hAnsi="Tahoma" w:cs="Tahoma"/>
          <w:sz w:val="22"/>
          <w:szCs w:val="22"/>
        </w:rPr>
      </w:pPr>
      <w:r w:rsidRPr="00E421EF">
        <w:rPr>
          <w:rFonts w:ascii="Tahoma" w:eastAsia="Proxima Nova" w:hAnsi="Tahoma" w:cs="Tahoma"/>
          <w:sz w:val="22"/>
          <w:szCs w:val="22"/>
        </w:rPr>
        <w:t xml:space="preserve">Partneři jako </w:t>
      </w:r>
      <w:proofErr w:type="spellStart"/>
      <w:r w:rsidRPr="00E421EF">
        <w:rPr>
          <w:rFonts w:ascii="Tahoma" w:eastAsia="Proxima Nova" w:hAnsi="Tahoma" w:cs="Tahoma"/>
          <w:sz w:val="22"/>
          <w:szCs w:val="22"/>
        </w:rPr>
        <w:t>Forscope</w:t>
      </w:r>
      <w:proofErr w:type="spellEnd"/>
      <w:r w:rsidRPr="00E421EF">
        <w:rPr>
          <w:rFonts w:ascii="Tahoma" w:eastAsia="Proxima Nova" w:hAnsi="Tahoma" w:cs="Tahoma"/>
          <w:sz w:val="22"/>
          <w:szCs w:val="22"/>
        </w:rPr>
        <w:t xml:space="preserve"> jsou stále častěji zapojováni do strategického plánování IT. Jako největší softwarový broker ve střední a východní Evropě podporuje </w:t>
      </w:r>
      <w:proofErr w:type="spellStart"/>
      <w:r w:rsidRPr="00E421EF">
        <w:rPr>
          <w:rFonts w:ascii="Tahoma" w:eastAsia="Proxima Nova" w:hAnsi="Tahoma" w:cs="Tahoma"/>
          <w:sz w:val="22"/>
          <w:szCs w:val="22"/>
        </w:rPr>
        <w:t>Forscope</w:t>
      </w:r>
      <w:proofErr w:type="spellEnd"/>
      <w:r w:rsidRPr="00E421EF">
        <w:rPr>
          <w:rFonts w:ascii="Tahoma" w:eastAsia="Proxima Nova" w:hAnsi="Tahoma" w:cs="Tahoma"/>
          <w:sz w:val="22"/>
          <w:szCs w:val="22"/>
        </w:rPr>
        <w:t xml:space="preserve"> organizace nákladově optimalizovaným licencováním, možnostmi kompatibilního použitého softwaru a hybridními scénáři. S blížícím se rokem 2026 bude tato rovnováha mezi inovacemi, kontrolou a flexibilitou určovat úspěšné IT strategie.</w:t>
      </w:r>
    </w:p>
    <w:p w14:paraId="2AFF95C0" w14:textId="77777777" w:rsidR="001059B8" w:rsidRDefault="001059B8" w:rsidP="00E409CB">
      <w:pPr>
        <w:jc w:val="both"/>
        <w:rPr>
          <w:rFonts w:ascii="Tahoma" w:eastAsia="Proxima Nova" w:hAnsi="Tahoma" w:cs="Tahoma"/>
          <w:sz w:val="22"/>
          <w:szCs w:val="22"/>
        </w:rPr>
      </w:pPr>
    </w:p>
    <w:p w14:paraId="0A028B49" w14:textId="05BAB2F7" w:rsidR="00AA4274" w:rsidRPr="003F035C" w:rsidRDefault="00AA4274" w:rsidP="00AA4274">
      <w:pPr>
        <w:jc w:val="center"/>
        <w:rPr>
          <w:rFonts w:ascii="Tahoma" w:hAnsi="Tahoma" w:cs="Tahoma"/>
          <w:sz w:val="22"/>
          <w:szCs w:val="22"/>
        </w:rPr>
      </w:pPr>
      <w:r w:rsidRPr="00AA4274">
        <w:rPr>
          <w:rFonts w:ascii="Tahoma" w:hAnsi="Tahoma" w:cs="Tahoma"/>
          <w:sz w:val="22"/>
          <w:szCs w:val="22"/>
        </w:rPr>
        <w:t>###</w:t>
      </w:r>
    </w:p>
    <w:bookmarkEnd w:id="0"/>
    <w:p w14:paraId="47A1EEB4" w14:textId="56662431" w:rsidR="004C7203" w:rsidRDefault="004C7203" w:rsidP="00B818DF">
      <w:pPr>
        <w:rPr>
          <w:rFonts w:ascii="Tahoma" w:hAnsi="Tahoma" w:cs="Tahoma"/>
          <w:sz w:val="22"/>
          <w:szCs w:val="22"/>
        </w:rPr>
      </w:pPr>
    </w:p>
    <w:p w14:paraId="38952564" w14:textId="046C207F" w:rsidR="00AA4274" w:rsidRPr="00AA4274" w:rsidRDefault="00AA4274" w:rsidP="00AA4274">
      <w:pPr>
        <w:rPr>
          <w:rFonts w:ascii="Tahoma" w:hAnsi="Tahoma" w:cs="Tahoma"/>
          <w:sz w:val="20"/>
          <w:szCs w:val="20"/>
        </w:rPr>
      </w:pPr>
      <w:r w:rsidRPr="00AA4274">
        <w:rPr>
          <w:rFonts w:ascii="Tahoma" w:hAnsi="Tahoma" w:cs="Tahoma"/>
          <w:b/>
          <w:bCs/>
          <w:sz w:val="20"/>
          <w:szCs w:val="20"/>
          <w:u w:val="single"/>
        </w:rPr>
        <w:t xml:space="preserve">O </w:t>
      </w:r>
      <w:proofErr w:type="spellStart"/>
      <w:r w:rsidRPr="00AA4274">
        <w:rPr>
          <w:rFonts w:ascii="Tahoma" w:hAnsi="Tahoma" w:cs="Tahoma"/>
          <w:b/>
          <w:bCs/>
          <w:sz w:val="20"/>
          <w:szCs w:val="20"/>
          <w:u w:val="single"/>
        </w:rPr>
        <w:t>Forscope</w:t>
      </w:r>
      <w:proofErr w:type="spellEnd"/>
    </w:p>
    <w:p w14:paraId="4CC82C91" w14:textId="77777777" w:rsidR="00AA4274" w:rsidRPr="00AA4274" w:rsidRDefault="00AA4274" w:rsidP="00AA4274">
      <w:pPr>
        <w:rPr>
          <w:rFonts w:ascii="Tahoma" w:hAnsi="Tahoma" w:cs="Tahoma"/>
          <w:sz w:val="20"/>
          <w:szCs w:val="20"/>
        </w:rPr>
      </w:pPr>
      <w:proofErr w:type="spellStart"/>
      <w:r w:rsidRPr="00AA4274">
        <w:rPr>
          <w:rFonts w:ascii="Tahoma" w:hAnsi="Tahoma" w:cs="Tahoma"/>
          <w:sz w:val="20"/>
          <w:szCs w:val="20"/>
        </w:rPr>
        <w:t>Forscope</w:t>
      </w:r>
      <w:proofErr w:type="spellEnd"/>
      <w:r w:rsidRPr="00AA4274">
        <w:rPr>
          <w:rFonts w:ascii="Tahoma" w:hAnsi="Tahoma" w:cs="Tahoma"/>
          <w:sz w:val="20"/>
          <w:szCs w:val="20"/>
        </w:rPr>
        <w:t xml:space="preserve">, největší softwarový broker ve střední a východní Evropě, nabízí plně licencovaná softwarová řešení prostřednictvím inovativního, nákladově efektivního modelu akvizice společnostem všech velikostí i veřejným institucím. Kromě toho firma dodává komplexní balíček služeb včetně technické podpory, licenčního a právního poradenství. </w:t>
      </w:r>
      <w:proofErr w:type="spellStart"/>
      <w:r w:rsidRPr="00AA4274">
        <w:rPr>
          <w:rFonts w:ascii="Tahoma" w:hAnsi="Tahoma" w:cs="Tahoma"/>
          <w:sz w:val="20"/>
          <w:szCs w:val="20"/>
        </w:rPr>
        <w:t>Forscope</w:t>
      </w:r>
      <w:proofErr w:type="spellEnd"/>
      <w:r w:rsidRPr="00AA4274">
        <w:rPr>
          <w:rFonts w:ascii="Tahoma" w:hAnsi="Tahoma" w:cs="Tahoma"/>
          <w:sz w:val="20"/>
          <w:szCs w:val="20"/>
        </w:rPr>
        <w:t xml:space="preserve"> se sídlem v České republice působí v dalších devíti zemích střední a východní Evropy. Je certifikovaným partnerem společnosti Microsoft a je držitelem certifikací ISO 9001:2015 a ISO 27001.</w:t>
      </w:r>
    </w:p>
    <w:p w14:paraId="096FEFB9" w14:textId="77777777" w:rsidR="003F035C" w:rsidRDefault="003F035C" w:rsidP="007A31AD">
      <w:pPr>
        <w:rPr>
          <w:rFonts w:ascii="Tahoma" w:hAnsi="Tahoma" w:cs="Tahoma"/>
          <w:sz w:val="22"/>
          <w:szCs w:val="22"/>
        </w:rPr>
      </w:pPr>
    </w:p>
    <w:p w14:paraId="540E78D0" w14:textId="77777777" w:rsidR="00D97495" w:rsidRDefault="00D97495" w:rsidP="00F35850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14:paraId="7FE620F3" w14:textId="7EF18ABC" w:rsidR="00F92A2A" w:rsidRDefault="006E7A6A" w:rsidP="008B7F29">
      <w:pPr>
        <w:jc w:val="both"/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Pro více informací navštivte</w:t>
      </w:r>
      <w:r w:rsidR="00582C0D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: </w:t>
      </w:r>
      <w:hyperlink r:id="rId8" w:history="1">
        <w:proofErr w:type="gramStart"/>
        <w:r w:rsidRPr="00D97495">
          <w:rPr>
            <w:rStyle w:val="Hypertextovodkaz"/>
            <w:rFonts w:ascii="Tahoma" w:eastAsia="Times New Roman" w:hAnsi="Tahoma" w:cs="Tahoma"/>
            <w:sz w:val="20"/>
            <w:szCs w:val="20"/>
            <w:lang w:eastAsia="en-GB"/>
          </w:rPr>
          <w:t>Web</w:t>
        </w:r>
        <w:proofErr w:type="gramEnd"/>
      </w:hyperlink>
      <w:r w:rsidR="00582C0D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| </w:t>
      </w:r>
      <w:hyperlink r:id="rId9" w:history="1">
        <w:r w:rsidR="00582C0D" w:rsidRPr="00D97495">
          <w:rPr>
            <w:rStyle w:val="Hypertextovodkaz"/>
            <w:rFonts w:ascii="Tahoma" w:eastAsia="Times New Roman" w:hAnsi="Tahoma" w:cs="Tahoma"/>
            <w:sz w:val="20"/>
            <w:szCs w:val="20"/>
            <w:lang w:eastAsia="en-GB"/>
          </w:rPr>
          <w:t>LinkedIn</w:t>
        </w:r>
      </w:hyperlink>
      <w:r w:rsidR="00582C0D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| </w:t>
      </w:r>
      <w:hyperlink r:id="rId10" w:history="1">
        <w:r w:rsidR="00582C0D" w:rsidRPr="00D97495">
          <w:rPr>
            <w:rStyle w:val="Hypertextovodkaz"/>
            <w:rFonts w:ascii="Tahoma" w:eastAsia="Times New Roman" w:hAnsi="Tahoma" w:cs="Tahoma"/>
            <w:sz w:val="20"/>
            <w:szCs w:val="20"/>
            <w:lang w:eastAsia="en-GB"/>
          </w:rPr>
          <w:t>Faceboo</w:t>
        </w:r>
        <w:r w:rsidRPr="00D97495">
          <w:rPr>
            <w:rStyle w:val="Hypertextovodkaz"/>
            <w:rFonts w:ascii="Tahoma" w:hAnsi="Tahoma" w:cs="Tahoma"/>
            <w:sz w:val="20"/>
            <w:szCs w:val="20"/>
          </w:rPr>
          <w:t>k</w:t>
        </w:r>
      </w:hyperlink>
    </w:p>
    <w:p w14:paraId="2469BF16" w14:textId="77777777" w:rsidR="00686C87" w:rsidRDefault="00686C87" w:rsidP="008B7F29">
      <w:pPr>
        <w:jc w:val="both"/>
      </w:pPr>
    </w:p>
    <w:p w14:paraId="14AECCEF" w14:textId="77777777" w:rsidR="00686C87" w:rsidRPr="00D97495" w:rsidRDefault="00686C87" w:rsidP="008B7F29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14:paraId="2D7EE19E" w14:textId="41300241" w:rsidR="004F0463" w:rsidRDefault="006E7A6A" w:rsidP="008B7F29">
      <w:pPr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</w:pPr>
      <w:r w:rsidRPr="00D97495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  <w:t>Kontakt pro média</w:t>
      </w:r>
    </w:p>
    <w:p w14:paraId="6FCCB4D3" w14:textId="77777777" w:rsidR="00537FBD" w:rsidRPr="00D97495" w:rsidRDefault="00537FBD" w:rsidP="008B7F29">
      <w:pPr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</w:pPr>
    </w:p>
    <w:p w14:paraId="2E629118" w14:textId="11D272FF" w:rsidR="006E7A6A" w:rsidRPr="00D97495" w:rsidRDefault="006E7A6A" w:rsidP="008B7F29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Petra Losertová / Phoenix </w:t>
      </w:r>
      <w:proofErr w:type="spellStart"/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Communication</w:t>
      </w:r>
      <w:proofErr w:type="spellEnd"/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, a.s.</w:t>
      </w:r>
    </w:p>
    <w:p w14:paraId="3B916896" w14:textId="75F3A70E" w:rsidR="006E7A6A" w:rsidRDefault="006E7A6A" w:rsidP="008B7F29">
      <w:pPr>
        <w:jc w:val="both"/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E-mail: </w:t>
      </w:r>
      <w:hyperlink r:id="rId11" w:history="1">
        <w:r w:rsidRPr="00D97495">
          <w:rPr>
            <w:rStyle w:val="Hypertextovodkaz"/>
            <w:rFonts w:ascii="Tahoma" w:eastAsia="Times New Roman" w:hAnsi="Tahoma" w:cs="Tahoma"/>
            <w:sz w:val="20"/>
            <w:szCs w:val="20"/>
            <w:u w:val="none"/>
            <w:lang w:eastAsia="en-GB"/>
          </w:rPr>
          <w:t>petra@phoenixcom.cz</w:t>
        </w:r>
      </w:hyperlink>
    </w:p>
    <w:p w14:paraId="5F85F102" w14:textId="35E5250C" w:rsidR="00E27978" w:rsidRPr="006E7A6A" w:rsidRDefault="00494368" w:rsidP="002C6A89">
      <w:pPr>
        <w:jc w:val="both"/>
        <w:rPr>
          <w:sz w:val="22"/>
          <w:szCs w:val="22"/>
        </w:rPr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Tel: +420 728 162</w:t>
      </w:r>
      <w:r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 </w:t>
      </w: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140</w:t>
      </w:r>
    </w:p>
    <w:sectPr w:rsidR="00E27978" w:rsidRPr="006E7A6A" w:rsidSect="00E64335">
      <w:headerReference w:type="default" r:id="rId12"/>
      <w:footerReference w:type="default" r:id="rId13"/>
      <w:pgSz w:w="11906" w:h="16838"/>
      <w:pgMar w:top="1440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0A734" w14:textId="77777777" w:rsidR="00D32C45" w:rsidRDefault="00D32C45" w:rsidP="004F0463">
      <w:r>
        <w:separator/>
      </w:r>
    </w:p>
  </w:endnote>
  <w:endnote w:type="continuationSeparator" w:id="0">
    <w:p w14:paraId="5B7071B8" w14:textId="77777777" w:rsidR="00D32C45" w:rsidRDefault="00D32C45" w:rsidP="004F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ima Nova">
    <w:altName w:val="Tahom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8D84" w14:textId="3715A4A4" w:rsidR="009B52A9" w:rsidRDefault="009B52A9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4ECC3" w14:textId="77777777" w:rsidR="00D32C45" w:rsidRDefault="00D32C45" w:rsidP="004F0463">
      <w:r>
        <w:separator/>
      </w:r>
    </w:p>
  </w:footnote>
  <w:footnote w:type="continuationSeparator" w:id="0">
    <w:p w14:paraId="749F32F4" w14:textId="77777777" w:rsidR="00D32C45" w:rsidRDefault="00D32C45" w:rsidP="004F0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247D" w14:textId="582AE371" w:rsidR="004F0463" w:rsidRDefault="0039419B" w:rsidP="004F0463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644A29" wp14:editId="2A665163">
          <wp:simplePos x="0" y="0"/>
          <wp:positionH relativeFrom="column">
            <wp:posOffset>2323465</wp:posOffset>
          </wp:positionH>
          <wp:positionV relativeFrom="paragraph">
            <wp:posOffset>-407670</wp:posOffset>
          </wp:positionV>
          <wp:extent cx="1701478" cy="850739"/>
          <wp:effectExtent l="0" t="0" r="0" b="6985"/>
          <wp:wrapTight wrapText="bothSides">
            <wp:wrapPolygon edited="0">
              <wp:start x="0" y="0"/>
              <wp:lineTo x="0" y="21294"/>
              <wp:lineTo x="21286" y="21294"/>
              <wp:lineTo x="21286" y="0"/>
              <wp:lineTo x="0" y="0"/>
            </wp:wrapPolygon>
          </wp:wrapTight>
          <wp:docPr id="1023813885" name="Picture 2" descr="A black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998173" name="Picture 2" descr="A black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478" cy="8507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6351"/>
    <w:multiLevelType w:val="multilevel"/>
    <w:tmpl w:val="AF3AF9E6"/>
    <w:lvl w:ilvl="0">
      <w:start w:val="1"/>
      <w:numFmt w:val="bullet"/>
      <w:lvlText w:val=""/>
      <w:lvlJc w:val="left"/>
      <w:pPr>
        <w:tabs>
          <w:tab w:val="num" w:pos="3904"/>
        </w:tabs>
        <w:ind w:left="39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24"/>
        </w:tabs>
        <w:ind w:left="46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344"/>
        </w:tabs>
        <w:ind w:left="53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064"/>
        </w:tabs>
        <w:ind w:left="60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784"/>
        </w:tabs>
        <w:ind w:left="67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04"/>
        </w:tabs>
        <w:ind w:left="75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24"/>
        </w:tabs>
        <w:ind w:left="82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944"/>
        </w:tabs>
        <w:ind w:left="89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664"/>
        </w:tabs>
        <w:ind w:left="9664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7A11D9"/>
    <w:multiLevelType w:val="multilevel"/>
    <w:tmpl w:val="D272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030624"/>
    <w:multiLevelType w:val="multilevel"/>
    <w:tmpl w:val="85D0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7A082D"/>
    <w:multiLevelType w:val="multilevel"/>
    <w:tmpl w:val="8BB4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BB4D36"/>
    <w:multiLevelType w:val="hybridMultilevel"/>
    <w:tmpl w:val="0A744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11471"/>
    <w:multiLevelType w:val="hybridMultilevel"/>
    <w:tmpl w:val="E2BCC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612B"/>
    <w:multiLevelType w:val="multilevel"/>
    <w:tmpl w:val="FB00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5D7723"/>
    <w:multiLevelType w:val="hybridMultilevel"/>
    <w:tmpl w:val="C3841A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24149"/>
    <w:multiLevelType w:val="hybridMultilevel"/>
    <w:tmpl w:val="B8D2C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32E05"/>
    <w:multiLevelType w:val="multilevel"/>
    <w:tmpl w:val="7D84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ED5D06"/>
    <w:multiLevelType w:val="hybridMultilevel"/>
    <w:tmpl w:val="12489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73754"/>
    <w:multiLevelType w:val="hybridMultilevel"/>
    <w:tmpl w:val="1FCC2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50E04"/>
    <w:multiLevelType w:val="multilevel"/>
    <w:tmpl w:val="A89A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342ABC"/>
    <w:multiLevelType w:val="multilevel"/>
    <w:tmpl w:val="5936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0993952">
    <w:abstractNumId w:val="5"/>
  </w:num>
  <w:num w:numId="2" w16cid:durableId="936014110">
    <w:abstractNumId w:val="10"/>
  </w:num>
  <w:num w:numId="3" w16cid:durableId="1291859499">
    <w:abstractNumId w:val="7"/>
  </w:num>
  <w:num w:numId="4" w16cid:durableId="1957329107">
    <w:abstractNumId w:val="11"/>
  </w:num>
  <w:num w:numId="5" w16cid:durableId="1638023334">
    <w:abstractNumId w:val="8"/>
  </w:num>
  <w:num w:numId="6" w16cid:durableId="1270239037">
    <w:abstractNumId w:val="4"/>
  </w:num>
  <w:num w:numId="7" w16cid:durableId="1485313412">
    <w:abstractNumId w:val="0"/>
  </w:num>
  <w:num w:numId="8" w16cid:durableId="895434679">
    <w:abstractNumId w:val="2"/>
  </w:num>
  <w:num w:numId="9" w16cid:durableId="1248343535">
    <w:abstractNumId w:val="12"/>
  </w:num>
  <w:num w:numId="10" w16cid:durableId="473717918">
    <w:abstractNumId w:val="13"/>
  </w:num>
  <w:num w:numId="11" w16cid:durableId="1452163848">
    <w:abstractNumId w:val="1"/>
  </w:num>
  <w:num w:numId="12" w16cid:durableId="190578819">
    <w:abstractNumId w:val="6"/>
  </w:num>
  <w:num w:numId="13" w16cid:durableId="892886214">
    <w:abstractNumId w:val="3"/>
  </w:num>
  <w:num w:numId="14" w16cid:durableId="8853397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AB"/>
    <w:rsid w:val="00002F47"/>
    <w:rsid w:val="00010E6D"/>
    <w:rsid w:val="00011091"/>
    <w:rsid w:val="00011491"/>
    <w:rsid w:val="000212BF"/>
    <w:rsid w:val="00023C77"/>
    <w:rsid w:val="000349FE"/>
    <w:rsid w:val="000362B2"/>
    <w:rsid w:val="00036DAF"/>
    <w:rsid w:val="00061CA7"/>
    <w:rsid w:val="00065879"/>
    <w:rsid w:val="00075BDC"/>
    <w:rsid w:val="00080247"/>
    <w:rsid w:val="00082525"/>
    <w:rsid w:val="000A2A76"/>
    <w:rsid w:val="000B2D62"/>
    <w:rsid w:val="000E2834"/>
    <w:rsid w:val="000E46F9"/>
    <w:rsid w:val="000F7230"/>
    <w:rsid w:val="001059B8"/>
    <w:rsid w:val="0011615D"/>
    <w:rsid w:val="001335FC"/>
    <w:rsid w:val="001340D3"/>
    <w:rsid w:val="00136960"/>
    <w:rsid w:val="00144F86"/>
    <w:rsid w:val="00145CFC"/>
    <w:rsid w:val="00146D5C"/>
    <w:rsid w:val="0016020E"/>
    <w:rsid w:val="00184062"/>
    <w:rsid w:val="001908D2"/>
    <w:rsid w:val="001A3872"/>
    <w:rsid w:val="001D6928"/>
    <w:rsid w:val="00203465"/>
    <w:rsid w:val="00210ABD"/>
    <w:rsid w:val="00214A06"/>
    <w:rsid w:val="00223FAA"/>
    <w:rsid w:val="00225FD2"/>
    <w:rsid w:val="002267FA"/>
    <w:rsid w:val="00231352"/>
    <w:rsid w:val="00244860"/>
    <w:rsid w:val="00244C35"/>
    <w:rsid w:val="002513C2"/>
    <w:rsid w:val="0025452D"/>
    <w:rsid w:val="00261A7C"/>
    <w:rsid w:val="00271B13"/>
    <w:rsid w:val="00271D2E"/>
    <w:rsid w:val="002735CD"/>
    <w:rsid w:val="00276BD5"/>
    <w:rsid w:val="00280A86"/>
    <w:rsid w:val="00286354"/>
    <w:rsid w:val="002A09BF"/>
    <w:rsid w:val="002A20D8"/>
    <w:rsid w:val="002B4CAB"/>
    <w:rsid w:val="002B78D5"/>
    <w:rsid w:val="002B7AC4"/>
    <w:rsid w:val="002C6A89"/>
    <w:rsid w:val="002C6F1F"/>
    <w:rsid w:val="002C713E"/>
    <w:rsid w:val="002E114B"/>
    <w:rsid w:val="002F0055"/>
    <w:rsid w:val="002F47B8"/>
    <w:rsid w:val="0032059C"/>
    <w:rsid w:val="00323257"/>
    <w:rsid w:val="0032604A"/>
    <w:rsid w:val="00335BFF"/>
    <w:rsid w:val="00343278"/>
    <w:rsid w:val="00345CF3"/>
    <w:rsid w:val="00346E03"/>
    <w:rsid w:val="0035561C"/>
    <w:rsid w:val="003745BA"/>
    <w:rsid w:val="003768A9"/>
    <w:rsid w:val="0039419B"/>
    <w:rsid w:val="003C427C"/>
    <w:rsid w:val="003E272E"/>
    <w:rsid w:val="003F035C"/>
    <w:rsid w:val="0040480F"/>
    <w:rsid w:val="0040543A"/>
    <w:rsid w:val="0040654B"/>
    <w:rsid w:val="004123FC"/>
    <w:rsid w:val="00413F2F"/>
    <w:rsid w:val="00432899"/>
    <w:rsid w:val="00434BA0"/>
    <w:rsid w:val="00436E42"/>
    <w:rsid w:val="0044245D"/>
    <w:rsid w:val="00443EE8"/>
    <w:rsid w:val="004538A3"/>
    <w:rsid w:val="00463D6F"/>
    <w:rsid w:val="00494368"/>
    <w:rsid w:val="004A23F2"/>
    <w:rsid w:val="004A2A87"/>
    <w:rsid w:val="004A7728"/>
    <w:rsid w:val="004C266B"/>
    <w:rsid w:val="004C4D76"/>
    <w:rsid w:val="004C7203"/>
    <w:rsid w:val="004C7AF8"/>
    <w:rsid w:val="004E04DB"/>
    <w:rsid w:val="004F0463"/>
    <w:rsid w:val="005069A5"/>
    <w:rsid w:val="005119B4"/>
    <w:rsid w:val="00512C11"/>
    <w:rsid w:val="00536EBF"/>
    <w:rsid w:val="00537FBD"/>
    <w:rsid w:val="00541C25"/>
    <w:rsid w:val="00561FC6"/>
    <w:rsid w:val="005633A0"/>
    <w:rsid w:val="00565309"/>
    <w:rsid w:val="00565404"/>
    <w:rsid w:val="00571C60"/>
    <w:rsid w:val="005738E5"/>
    <w:rsid w:val="00575437"/>
    <w:rsid w:val="0057551B"/>
    <w:rsid w:val="00582C0D"/>
    <w:rsid w:val="00585F59"/>
    <w:rsid w:val="00593CC9"/>
    <w:rsid w:val="005B4AD9"/>
    <w:rsid w:val="005B5B5A"/>
    <w:rsid w:val="005C6A41"/>
    <w:rsid w:val="005D7222"/>
    <w:rsid w:val="005E68CD"/>
    <w:rsid w:val="005F4BB0"/>
    <w:rsid w:val="0060579E"/>
    <w:rsid w:val="00624E57"/>
    <w:rsid w:val="006277E7"/>
    <w:rsid w:val="006312C9"/>
    <w:rsid w:val="0065444A"/>
    <w:rsid w:val="00656F31"/>
    <w:rsid w:val="00660A02"/>
    <w:rsid w:val="00674CEC"/>
    <w:rsid w:val="006835FC"/>
    <w:rsid w:val="00686C87"/>
    <w:rsid w:val="006A2D0A"/>
    <w:rsid w:val="006A41B7"/>
    <w:rsid w:val="006A73B3"/>
    <w:rsid w:val="006C3BAB"/>
    <w:rsid w:val="006C7559"/>
    <w:rsid w:val="006D5E94"/>
    <w:rsid w:val="006D7FA4"/>
    <w:rsid w:val="006E7A6A"/>
    <w:rsid w:val="007013EC"/>
    <w:rsid w:val="00701D12"/>
    <w:rsid w:val="007058E9"/>
    <w:rsid w:val="00731D75"/>
    <w:rsid w:val="00740A90"/>
    <w:rsid w:val="00746DDF"/>
    <w:rsid w:val="0076273C"/>
    <w:rsid w:val="00763E36"/>
    <w:rsid w:val="0078178E"/>
    <w:rsid w:val="007877B1"/>
    <w:rsid w:val="007A31AD"/>
    <w:rsid w:val="007A5C87"/>
    <w:rsid w:val="007A6B8B"/>
    <w:rsid w:val="007B169F"/>
    <w:rsid w:val="007B62B7"/>
    <w:rsid w:val="007C23D9"/>
    <w:rsid w:val="007C297F"/>
    <w:rsid w:val="007C302D"/>
    <w:rsid w:val="007D0A78"/>
    <w:rsid w:val="007D7EE8"/>
    <w:rsid w:val="007F37E5"/>
    <w:rsid w:val="008127C4"/>
    <w:rsid w:val="00816A4D"/>
    <w:rsid w:val="008274AF"/>
    <w:rsid w:val="008369CC"/>
    <w:rsid w:val="00842403"/>
    <w:rsid w:val="008438F7"/>
    <w:rsid w:val="00877091"/>
    <w:rsid w:val="008852F3"/>
    <w:rsid w:val="00885B39"/>
    <w:rsid w:val="00887E3A"/>
    <w:rsid w:val="008B0E48"/>
    <w:rsid w:val="008B7F29"/>
    <w:rsid w:val="008C67C6"/>
    <w:rsid w:val="008D0EB6"/>
    <w:rsid w:val="008D3DE3"/>
    <w:rsid w:val="008D5B57"/>
    <w:rsid w:val="008D7155"/>
    <w:rsid w:val="008E08CF"/>
    <w:rsid w:val="008E1C0A"/>
    <w:rsid w:val="008E3BC3"/>
    <w:rsid w:val="008E60AD"/>
    <w:rsid w:val="008F2ED8"/>
    <w:rsid w:val="008F7305"/>
    <w:rsid w:val="00902080"/>
    <w:rsid w:val="00916018"/>
    <w:rsid w:val="0093778B"/>
    <w:rsid w:val="00940000"/>
    <w:rsid w:val="0095049C"/>
    <w:rsid w:val="00951368"/>
    <w:rsid w:val="00961750"/>
    <w:rsid w:val="009637D0"/>
    <w:rsid w:val="009679AF"/>
    <w:rsid w:val="00973CB5"/>
    <w:rsid w:val="009933F4"/>
    <w:rsid w:val="00993F8F"/>
    <w:rsid w:val="009A31DD"/>
    <w:rsid w:val="009B111F"/>
    <w:rsid w:val="009B52A9"/>
    <w:rsid w:val="009B612A"/>
    <w:rsid w:val="009C4669"/>
    <w:rsid w:val="009D1BE8"/>
    <w:rsid w:val="009F4136"/>
    <w:rsid w:val="009F5DF0"/>
    <w:rsid w:val="00A023A4"/>
    <w:rsid w:val="00A02F66"/>
    <w:rsid w:val="00A03392"/>
    <w:rsid w:val="00A1437A"/>
    <w:rsid w:val="00A23C89"/>
    <w:rsid w:val="00A25D31"/>
    <w:rsid w:val="00A3097A"/>
    <w:rsid w:val="00A37855"/>
    <w:rsid w:val="00A417C9"/>
    <w:rsid w:val="00A56738"/>
    <w:rsid w:val="00A718B3"/>
    <w:rsid w:val="00A71A44"/>
    <w:rsid w:val="00A73BFA"/>
    <w:rsid w:val="00A8196B"/>
    <w:rsid w:val="00AA1CA7"/>
    <w:rsid w:val="00AA4274"/>
    <w:rsid w:val="00AC5497"/>
    <w:rsid w:val="00AD13F3"/>
    <w:rsid w:val="00AE1EB1"/>
    <w:rsid w:val="00AF6054"/>
    <w:rsid w:val="00AF7C31"/>
    <w:rsid w:val="00B24542"/>
    <w:rsid w:val="00B25D4B"/>
    <w:rsid w:val="00B4147D"/>
    <w:rsid w:val="00B5425F"/>
    <w:rsid w:val="00B75626"/>
    <w:rsid w:val="00B818DF"/>
    <w:rsid w:val="00B848E7"/>
    <w:rsid w:val="00B91E69"/>
    <w:rsid w:val="00B93774"/>
    <w:rsid w:val="00BA012B"/>
    <w:rsid w:val="00BA2CE8"/>
    <w:rsid w:val="00BA572C"/>
    <w:rsid w:val="00BB071A"/>
    <w:rsid w:val="00BD3B3B"/>
    <w:rsid w:val="00BE6E88"/>
    <w:rsid w:val="00BF463A"/>
    <w:rsid w:val="00BF7B79"/>
    <w:rsid w:val="00C20748"/>
    <w:rsid w:val="00C228D4"/>
    <w:rsid w:val="00C2409E"/>
    <w:rsid w:val="00C2485F"/>
    <w:rsid w:val="00C25B33"/>
    <w:rsid w:val="00C26F1A"/>
    <w:rsid w:val="00C33D91"/>
    <w:rsid w:val="00C34E51"/>
    <w:rsid w:val="00C41D7C"/>
    <w:rsid w:val="00C429EE"/>
    <w:rsid w:val="00C5454D"/>
    <w:rsid w:val="00C56306"/>
    <w:rsid w:val="00C6189C"/>
    <w:rsid w:val="00C644F7"/>
    <w:rsid w:val="00C70455"/>
    <w:rsid w:val="00C75C3F"/>
    <w:rsid w:val="00C8619C"/>
    <w:rsid w:val="00C8620C"/>
    <w:rsid w:val="00C97EB9"/>
    <w:rsid w:val="00CA3282"/>
    <w:rsid w:val="00CA4143"/>
    <w:rsid w:val="00CA54F3"/>
    <w:rsid w:val="00CB3944"/>
    <w:rsid w:val="00CC5420"/>
    <w:rsid w:val="00CC6D49"/>
    <w:rsid w:val="00CD101F"/>
    <w:rsid w:val="00CF24A1"/>
    <w:rsid w:val="00CF3DC8"/>
    <w:rsid w:val="00D11103"/>
    <w:rsid w:val="00D32C45"/>
    <w:rsid w:val="00D44BBA"/>
    <w:rsid w:val="00D502A6"/>
    <w:rsid w:val="00D5645D"/>
    <w:rsid w:val="00D62EB6"/>
    <w:rsid w:val="00D72E62"/>
    <w:rsid w:val="00D733C2"/>
    <w:rsid w:val="00D86868"/>
    <w:rsid w:val="00D97495"/>
    <w:rsid w:val="00DA1B0D"/>
    <w:rsid w:val="00DA2D93"/>
    <w:rsid w:val="00DB1400"/>
    <w:rsid w:val="00DD3515"/>
    <w:rsid w:val="00DE0C38"/>
    <w:rsid w:val="00E0284A"/>
    <w:rsid w:val="00E0635D"/>
    <w:rsid w:val="00E07925"/>
    <w:rsid w:val="00E21868"/>
    <w:rsid w:val="00E2461A"/>
    <w:rsid w:val="00E27978"/>
    <w:rsid w:val="00E36C78"/>
    <w:rsid w:val="00E409CB"/>
    <w:rsid w:val="00E421EF"/>
    <w:rsid w:val="00E64335"/>
    <w:rsid w:val="00E67C17"/>
    <w:rsid w:val="00E73CE0"/>
    <w:rsid w:val="00E94BD6"/>
    <w:rsid w:val="00E95A41"/>
    <w:rsid w:val="00EA1723"/>
    <w:rsid w:val="00EA478F"/>
    <w:rsid w:val="00EB080E"/>
    <w:rsid w:val="00EC0A11"/>
    <w:rsid w:val="00EC5274"/>
    <w:rsid w:val="00EC6805"/>
    <w:rsid w:val="00EE0A85"/>
    <w:rsid w:val="00EF03C4"/>
    <w:rsid w:val="00F01FBE"/>
    <w:rsid w:val="00F0341B"/>
    <w:rsid w:val="00F33C4D"/>
    <w:rsid w:val="00F34FFE"/>
    <w:rsid w:val="00F35850"/>
    <w:rsid w:val="00F3721E"/>
    <w:rsid w:val="00F4140B"/>
    <w:rsid w:val="00F44169"/>
    <w:rsid w:val="00F46C8D"/>
    <w:rsid w:val="00F51EFC"/>
    <w:rsid w:val="00F55415"/>
    <w:rsid w:val="00F61DFA"/>
    <w:rsid w:val="00F76DBB"/>
    <w:rsid w:val="00F8447C"/>
    <w:rsid w:val="00F92A2A"/>
    <w:rsid w:val="00F93DB5"/>
    <w:rsid w:val="00FB7531"/>
    <w:rsid w:val="00FC0449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8EEE"/>
  <w15:chartTrackingRefBased/>
  <w15:docId w15:val="{F44A6EB1-8A36-3945-87CA-4A38BF0B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4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4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4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4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4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4C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4C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4C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4C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4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4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4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4C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4C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4C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4C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4C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4C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4C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4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4C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4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4C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4C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4C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4C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4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4C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4CA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F04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Zhlav">
    <w:name w:val="header"/>
    <w:basedOn w:val="Normln"/>
    <w:link w:val="ZhlavChar"/>
    <w:uiPriority w:val="99"/>
    <w:unhideWhenUsed/>
    <w:rsid w:val="004F0463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0463"/>
  </w:style>
  <w:style w:type="paragraph" w:styleId="Zpat">
    <w:name w:val="footer"/>
    <w:basedOn w:val="Normln"/>
    <w:link w:val="ZpatChar"/>
    <w:uiPriority w:val="99"/>
    <w:unhideWhenUsed/>
    <w:rsid w:val="004F0463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0463"/>
  </w:style>
  <w:style w:type="character" w:styleId="Hypertextovodkaz">
    <w:name w:val="Hyperlink"/>
    <w:basedOn w:val="Standardnpsmoodstavce"/>
    <w:uiPriority w:val="99"/>
    <w:unhideWhenUsed/>
    <w:rsid w:val="00214A0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4A0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341B"/>
  </w:style>
  <w:style w:type="character" w:styleId="Sledovanodkaz">
    <w:name w:val="FollowedHyperlink"/>
    <w:basedOn w:val="Standardnpsmoodstavce"/>
    <w:uiPriority w:val="99"/>
    <w:semiHidden/>
    <w:unhideWhenUsed/>
    <w:rsid w:val="00D62EB6"/>
    <w:rPr>
      <w:color w:val="96607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E1C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C0A"/>
    <w:pPr>
      <w:spacing w:after="160"/>
    </w:pPr>
    <w:rPr>
      <w:kern w:val="2"/>
      <w:sz w:val="20"/>
      <w:szCs w:val="20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1C0A"/>
    <w:rPr>
      <w:kern w:val="2"/>
      <w:sz w:val="20"/>
      <w:szCs w:val="20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4062"/>
    <w:pPr>
      <w:spacing w:after="0"/>
    </w:pPr>
    <w:rPr>
      <w:b/>
      <w:bCs/>
      <w:kern w:val="0"/>
      <w14:ligatures w14:val="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4062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67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507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285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4025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4754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0452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718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6147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4125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87137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35524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168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1730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83824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6169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1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56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7349079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3113291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26441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1998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07840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04748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50371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82407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479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9191924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84164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394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63599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89893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05319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  <w:div w:id="96593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87755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42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05976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36312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8102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59089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06377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91113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96344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4443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57111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1830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4776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63566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31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6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23694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09669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68005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27435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468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7644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533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831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95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4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25852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983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9026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8211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71386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1600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85184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587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42497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7726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11651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14075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961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8833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84411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435063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6772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90201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99039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8846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45943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9243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405710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9875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63809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7460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98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7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58835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45829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0618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63140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11185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9792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6075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1361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8342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3725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7667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54086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5601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58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062069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278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575022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41418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7600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2584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430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7203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064687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043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804861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4465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582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2753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9134482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603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2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87586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3872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634709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2554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6629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16213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743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78249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51865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36406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774432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78745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296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4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90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753710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05564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499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5092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97572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95488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4891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249456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24418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2216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74400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17487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51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0664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91579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4434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27531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3449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95146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96711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750459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53838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156567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41795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103117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47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152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794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05242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3213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6321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4273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8935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93999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71155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38530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4765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602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377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536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89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7890548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60480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4083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9348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00971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07049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32049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28862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7556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9831554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571018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51642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7625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97819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68336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  <w:div w:id="72333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5397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5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222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09407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8496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15456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1641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6858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46876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5921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28268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6619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573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0750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1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9777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88621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0149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51897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89655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25342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8742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87653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60186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21515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1734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46608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79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45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497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86908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17935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8257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56340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6669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217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4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897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471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67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31741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48621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8798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1883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8174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1402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574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86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5279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41426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21067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8790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17353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39422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2192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35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20576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210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3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68372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5330961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134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3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79031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2775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6903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4008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35942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2265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28375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5815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78844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34747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01760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6305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57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57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5766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9568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5172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71277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3868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58712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1047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50558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7781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19559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23978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4196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87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3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7636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9221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8441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7059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22120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5659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4259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8081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71620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56334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470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3354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34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7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36956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70579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2581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10903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60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3586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41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9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2945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101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6406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37132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9925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3302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7134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4301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07855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933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87783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7661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023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09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3391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24846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04530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2630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5370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305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41659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97744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6797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1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83272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0089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414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64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7961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41517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97376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07170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458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804165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5953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8088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229270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76900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01259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00749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9139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40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62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65129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8057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3432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8797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4506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87315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23842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9015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37281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912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566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8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075464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73868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707274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21852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7926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4386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9330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5616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02413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92227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01305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7062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678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407333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88206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511992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1644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19017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02330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748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2683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448505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154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862024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38701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93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210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6838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20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568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scope.e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ra@phoenixcom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Forscop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forscope/posts/?feedView=al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86599-078B-4CFC-AA16-F25600D9C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790</Words>
  <Characters>4666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Petra Losertová | PHOENIXCOM</cp:lastModifiedBy>
  <cp:revision>3</cp:revision>
  <dcterms:created xsi:type="dcterms:W3CDTF">2025-12-16T14:39:00Z</dcterms:created>
  <dcterms:modified xsi:type="dcterms:W3CDTF">2025-12-17T06:21:00Z</dcterms:modified>
</cp:coreProperties>
</file>