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9CF" w:rsidRPr="00D65403" w:rsidRDefault="002969CF" w:rsidP="002969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:rsidR="0019097D" w:rsidRDefault="00FE1C4A" w:rsidP="00FE1C4A">
      <w:pPr>
        <w:jc w:val="center"/>
      </w:pPr>
      <w:r w:rsidRPr="00FE1C4A">
        <w:rPr>
          <w:b/>
          <w:bCs/>
          <w:sz w:val="32"/>
          <w:szCs w:val="32"/>
        </w:rPr>
        <w:t>Vylaďte si auto dle svého</w:t>
      </w:r>
    </w:p>
    <w:p w:rsidR="0019097D" w:rsidRDefault="0019097D" w:rsidP="0019097D">
      <w:pPr>
        <w:jc w:val="both"/>
        <w:rPr>
          <w:b/>
          <w:bCs/>
        </w:rPr>
      </w:pPr>
      <w:r w:rsidRPr="0019097D">
        <w:t xml:space="preserve">Praha, </w:t>
      </w:r>
      <w:r w:rsidR="00FE1C4A">
        <w:t>26</w:t>
      </w:r>
      <w:r w:rsidRPr="0019097D">
        <w:t>.</w:t>
      </w:r>
      <w:r w:rsidR="00FE1C4A">
        <w:t>5.</w:t>
      </w:r>
      <w:r w:rsidRPr="0019097D">
        <w:t xml:space="preserve"> -</w:t>
      </w:r>
      <w:r>
        <w:rPr>
          <w:b/>
          <w:bCs/>
        </w:rPr>
        <w:t xml:space="preserve"> </w:t>
      </w:r>
      <w:r w:rsidR="00FE1C4A" w:rsidRPr="00FE1C4A">
        <w:rPr>
          <w:b/>
          <w:bCs/>
        </w:rPr>
        <w:t xml:space="preserve">Řidiči si obecně vzato rádi svou jízdu autem zpříjemňují a zjednodušují. Přeci jen, pokud sedí za volantem někdy denně i hodiny, je dobré si zážitek z jízdy přizpůsobit svému komfortu. </w:t>
      </w:r>
      <w:proofErr w:type="spellStart"/>
      <w:r w:rsidR="00FE1C4A" w:rsidRPr="00FE1C4A">
        <w:rPr>
          <w:b/>
          <w:bCs/>
        </w:rPr>
        <w:t>Sencor</w:t>
      </w:r>
      <w:proofErr w:type="spellEnd"/>
      <w:r w:rsidR="00FE1C4A" w:rsidRPr="00FE1C4A">
        <w:rPr>
          <w:b/>
          <w:bCs/>
        </w:rPr>
        <w:t xml:space="preserve"> na český trh dodává celou řadu příslušenství, které jízdu autem dokáže zpříjemnit případně ji učinit výrazně bezpečnější.</w:t>
      </w:r>
    </w:p>
    <w:p w:rsidR="00FE1C4A" w:rsidRDefault="00FE1C4A" w:rsidP="00FE1C4A">
      <w:pPr>
        <w:jc w:val="both"/>
      </w:pPr>
      <w:r w:rsidRPr="006C3B68">
        <w:rPr>
          <w:rFonts w:ascii="Times New Roman" w:eastAsia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94418E" wp14:editId="1BA3DC06">
            <wp:simplePos x="0" y="0"/>
            <wp:positionH relativeFrom="column">
              <wp:posOffset>4662805</wp:posOffset>
            </wp:positionH>
            <wp:positionV relativeFrom="paragraph">
              <wp:posOffset>60325</wp:posOffset>
            </wp:positionV>
            <wp:extent cx="1577975" cy="1577975"/>
            <wp:effectExtent l="0" t="0" r="317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4A" w:rsidRPr="00FE1C4A" w:rsidRDefault="00FE1C4A" w:rsidP="00FE1C4A">
      <w:pPr>
        <w:jc w:val="both"/>
        <w:rPr>
          <w:b/>
          <w:bCs/>
          <w:u w:val="single"/>
        </w:rPr>
      </w:pPr>
      <w:r w:rsidRPr="00FE1C4A">
        <w:rPr>
          <w:b/>
          <w:bCs/>
          <w:u w:val="single"/>
        </w:rPr>
        <w:t>Modulátory pro lepší konektivitu a rychlé nabíjení</w:t>
      </w:r>
    </w:p>
    <w:p w:rsidR="00FE1C4A" w:rsidRDefault="00FE1C4A" w:rsidP="00FE1C4A">
      <w:pPr>
        <w:jc w:val="both"/>
      </w:pPr>
      <w:proofErr w:type="spellStart"/>
      <w:r w:rsidRPr="00FE1C4A">
        <w:rPr>
          <w:b/>
          <w:bCs/>
        </w:rPr>
        <w:t>Bluetoothový</w:t>
      </w:r>
      <w:proofErr w:type="spellEnd"/>
      <w:r w:rsidRPr="00FE1C4A">
        <w:rPr>
          <w:b/>
          <w:bCs/>
        </w:rPr>
        <w:t xml:space="preserve"> modulátor </w:t>
      </w:r>
      <w:proofErr w:type="spellStart"/>
      <w:r w:rsidRPr="00FE1C4A">
        <w:rPr>
          <w:b/>
          <w:bCs/>
        </w:rPr>
        <w:t>Sencor</w:t>
      </w:r>
      <w:proofErr w:type="spellEnd"/>
      <w:r w:rsidRPr="00FE1C4A">
        <w:rPr>
          <w:b/>
          <w:bCs/>
        </w:rPr>
        <w:t xml:space="preserve"> SWM 5858</w:t>
      </w:r>
      <w:r>
        <w:t xml:space="preserve"> je nejvyšším modelem, který </w:t>
      </w:r>
      <w:proofErr w:type="spellStart"/>
      <w:r>
        <w:t>Sencor</w:t>
      </w:r>
      <w:proofErr w:type="spellEnd"/>
      <w:r>
        <w:t xml:space="preserve"> na českém trhu prodává. Je vybaven třemi USB konektory – QC 3.0 rychlonabíjecím portem, standardním rychlonabíjecím portem a jedním standardním USB pro přehrávání hudby z flashdisku. Modulátor podporuje spojení přes Bluetooth, USB disk, TF kartu, má vstup </w:t>
      </w:r>
      <w:proofErr w:type="spellStart"/>
      <w:r>
        <w:t>Aux</w:t>
      </w:r>
      <w:proofErr w:type="spellEnd"/>
      <w:r>
        <w:t>-in a přehrává formáty MP3, WMA, FLAC i WAV. Díky vestavěnému mikrofonu jej lze používat i jako Handsfree. Na barevné TFT LCD obrazovce s úhlopříčkou 1,85" (4,7 cm) uživatel jednoduše nastaví frekvenci FM, kterou si pro přenos hudby naladí i na autorádiu. LCD panel je navíc umístěn na nastavitelném ramenu, které si v případě potřeby jednoduše přizpůsobí řidič či spolujezdec.</w:t>
      </w:r>
    </w:p>
    <w:p w:rsidR="0019097D" w:rsidRPr="00FE1C4A" w:rsidRDefault="00FE1C4A" w:rsidP="00FE1C4A">
      <w:pPr>
        <w:jc w:val="both"/>
        <w:rPr>
          <w:i/>
          <w:iCs/>
        </w:rPr>
      </w:pPr>
      <w:r w:rsidRPr="00FE1C4A">
        <w:rPr>
          <w:i/>
          <w:iCs/>
        </w:rPr>
        <w:t xml:space="preserve">Maloobchodní cena FM modulátoru </w:t>
      </w:r>
      <w:proofErr w:type="spellStart"/>
      <w:r w:rsidRPr="00FE1C4A">
        <w:rPr>
          <w:i/>
          <w:iCs/>
        </w:rPr>
        <w:t>Sencor</w:t>
      </w:r>
      <w:proofErr w:type="spellEnd"/>
      <w:r w:rsidRPr="00FE1C4A">
        <w:rPr>
          <w:i/>
          <w:iCs/>
        </w:rPr>
        <w:t xml:space="preserve"> SWM 5858 je 649 Kč.</w:t>
      </w:r>
    </w:p>
    <w:p w:rsidR="00FE1C4A" w:rsidRDefault="00FE1C4A" w:rsidP="00FE1C4A">
      <w:pPr>
        <w:spacing w:after="0" w:line="240" w:lineRule="auto"/>
        <w:rPr>
          <w:b/>
          <w:bCs/>
        </w:rPr>
      </w:pPr>
    </w:p>
    <w:p w:rsidR="00FE1C4A" w:rsidRDefault="00FE1C4A" w:rsidP="00FE1C4A">
      <w:pPr>
        <w:spacing w:after="0" w:line="240" w:lineRule="auto"/>
      </w:pPr>
      <w:r w:rsidRPr="00FE1C4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DBE7CF7" wp14:editId="4FCCECCA">
            <wp:simplePos x="0" y="0"/>
            <wp:positionH relativeFrom="column">
              <wp:posOffset>4981575</wp:posOffset>
            </wp:positionH>
            <wp:positionV relativeFrom="paragraph">
              <wp:posOffset>27305</wp:posOffset>
            </wp:positionV>
            <wp:extent cx="1489075" cy="1489075"/>
            <wp:effectExtent l="0" t="0" r="0" b="0"/>
            <wp:wrapSquare wrapText="bothSides"/>
            <wp:docPr id="3" name="Obrázek 3" descr="BT / MP3 Car FM Transmitter with QC3.0 Quick 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T / MP3 Car FM Transmitter with QC3.0 Quick Char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4A">
        <w:rPr>
          <w:b/>
          <w:bCs/>
        </w:rPr>
        <w:t xml:space="preserve">Designovou variantou modulátoru je </w:t>
      </w:r>
      <w:proofErr w:type="spellStart"/>
      <w:r w:rsidRPr="00FE1C4A">
        <w:rPr>
          <w:b/>
          <w:bCs/>
        </w:rPr>
        <w:t>Sencor</w:t>
      </w:r>
      <w:proofErr w:type="spellEnd"/>
      <w:r w:rsidRPr="00FE1C4A">
        <w:rPr>
          <w:b/>
          <w:bCs/>
        </w:rPr>
        <w:t xml:space="preserve"> SWM 4848</w:t>
      </w:r>
      <w:r>
        <w:t xml:space="preserve">, jehož povrchové zpracování se díky exklusivní perleťové metalíze vyjímá i v interiérech luxusních vozů. Po obvodu předního panelu vede designové osvětlení ve formě tenké modré linie. Modulátor umí přehrávat hudbu z Bluetooth, USB disku či microSD karty a podporuje formáty MP3, WMA i vysoce kvalitní FLAC nebo WAV. Díky zabudovanému mikrofonu slouží taktéž jako Handsfree. SWM 4848 má dva USB konektory umístěné zepředu vedle sebe. První je vybaven inteligentním </w:t>
      </w:r>
      <w:proofErr w:type="spellStart"/>
      <w:r>
        <w:t>rychlonabíjením</w:t>
      </w:r>
      <w:proofErr w:type="spellEnd"/>
      <w:r>
        <w:t xml:space="preserve"> QC 3.0, kterým nebývají součástí výbavy ani u moderních automobilů s integrovanými USB konektory. Druhý USB vstup umožňuje nabíjení se standardním nabíjecím proudem až </w:t>
      </w:r>
      <w:proofErr w:type="gramStart"/>
      <w:r>
        <w:t>1A</w:t>
      </w:r>
      <w:proofErr w:type="gramEnd"/>
      <w:r>
        <w:t xml:space="preserve"> a zároveň i přehrávání hudby z nabíjeného chytrého telefonu, skrze USB kabel nebo z </w:t>
      </w:r>
      <w:proofErr w:type="spellStart"/>
      <w:r>
        <w:t>flash</w:t>
      </w:r>
      <w:proofErr w:type="spellEnd"/>
      <w:r>
        <w:t xml:space="preserve"> disku.</w:t>
      </w:r>
    </w:p>
    <w:p w:rsidR="00FE1C4A" w:rsidRDefault="00FE1C4A" w:rsidP="00FE1C4A">
      <w:pPr>
        <w:spacing w:after="0" w:line="240" w:lineRule="auto"/>
      </w:pPr>
    </w:p>
    <w:p w:rsidR="00464C22" w:rsidRPr="00FE1C4A" w:rsidRDefault="00FE1C4A" w:rsidP="00FE1C4A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E1C4A">
        <w:rPr>
          <w:i/>
          <w:iCs/>
        </w:rPr>
        <w:t xml:space="preserve">Maloobchodní cena FM modulátoru </w:t>
      </w:r>
      <w:proofErr w:type="spellStart"/>
      <w:r w:rsidRPr="00FE1C4A">
        <w:rPr>
          <w:i/>
          <w:iCs/>
        </w:rPr>
        <w:t>Sencor</w:t>
      </w:r>
      <w:proofErr w:type="spellEnd"/>
      <w:r w:rsidRPr="00FE1C4A">
        <w:rPr>
          <w:i/>
          <w:iCs/>
        </w:rPr>
        <w:t xml:space="preserve"> SWM 4848 je 479 Kč.</w:t>
      </w:r>
      <w:r w:rsidR="00464C22" w:rsidRPr="00FE1C4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19097D" w:rsidRDefault="0019097D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FE1C4A" w:rsidRDefault="00FE1C4A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FE1C4A" w:rsidRPr="00FE1C4A" w:rsidRDefault="00FE1C4A" w:rsidP="00FE1C4A">
      <w:pPr>
        <w:jc w:val="both"/>
        <w:rPr>
          <w:b/>
          <w:bCs/>
          <w:u w:val="single"/>
        </w:rPr>
      </w:pPr>
      <w:r w:rsidRPr="00FE1C4A">
        <w:rPr>
          <w:b/>
          <w:bCs/>
          <w:u w:val="single"/>
        </w:rPr>
        <w:t>Nabíjení bez starostí s kabely – automaticky otevíratelný držák SCA MH01</w:t>
      </w:r>
    </w:p>
    <w:p w:rsidR="00FE1C4A" w:rsidRDefault="00FE1C4A" w:rsidP="00FE1C4A">
      <w:pPr>
        <w:jc w:val="both"/>
      </w:pPr>
      <w:r w:rsidRPr="00B53504">
        <w:rPr>
          <w:noProof/>
        </w:rPr>
        <w:drawing>
          <wp:anchor distT="0" distB="0" distL="114300" distR="114300" simplePos="0" relativeHeight="251665408" behindDoc="1" locked="0" layoutInCell="1" allowOverlap="1" wp14:anchorId="5216F9C6" wp14:editId="5678F346">
            <wp:simplePos x="0" y="0"/>
            <wp:positionH relativeFrom="column">
              <wp:posOffset>4194175</wp:posOffset>
            </wp:positionH>
            <wp:positionV relativeFrom="paragraph">
              <wp:posOffset>44450</wp:posOffset>
            </wp:positionV>
            <wp:extent cx="1402080" cy="1402080"/>
            <wp:effectExtent l="0" t="0" r="0" b="0"/>
            <wp:wrapSquare wrapText="bothSides"/>
            <wp:docPr id="11" name="Obrázek 11" descr="Auto-open Car Smartphon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uto-open Car Smartphone Hol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Moderní držák chytrých telefonů do auta je elegantní kombinací automatického držáku a bezdrátové nabíječky. Disponuje nabíjecím standardem </w:t>
      </w:r>
      <w:proofErr w:type="spellStart"/>
      <w:r>
        <w:t>Qi</w:t>
      </w:r>
      <w:proofErr w:type="spellEnd"/>
      <w:r>
        <w:t xml:space="preserve"> s podporou rychlého nabíjení a je vybaven senzorem pro automatické otevření, díky kterému je jeho obsluha velmi snadná. Pro nalezení ideální polohy je možno držák otáčet v rozsahu 360 stupňů. Uchytit jej lze na čelní sklo vozidla, na jeho palubní desku nebo do výdechu ventilace. Do auta držák zapojíte USB-C kabelem, který je součástí balení.</w:t>
      </w:r>
    </w:p>
    <w:p w:rsidR="00FE1C4A" w:rsidRPr="00FE1C4A" w:rsidRDefault="00FE1C4A" w:rsidP="00FE1C4A">
      <w:pPr>
        <w:jc w:val="both"/>
        <w:rPr>
          <w:b/>
          <w:bCs/>
          <w:i/>
          <w:iCs/>
        </w:rPr>
      </w:pPr>
      <w:r w:rsidRPr="00811825">
        <w:rPr>
          <w:rFonts w:ascii="Times New Roman" w:eastAsia="Times New Roman" w:hAnsi="Times New Roman"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7919B62B" wp14:editId="6A6E857B">
            <wp:simplePos x="0" y="0"/>
            <wp:positionH relativeFrom="column">
              <wp:posOffset>4679315</wp:posOffset>
            </wp:positionH>
            <wp:positionV relativeFrom="paragraph">
              <wp:posOffset>194310</wp:posOffset>
            </wp:positionV>
            <wp:extent cx="1766570" cy="1766570"/>
            <wp:effectExtent l="0" t="0" r="0" b="0"/>
            <wp:wrapSquare wrapText="bothSides"/>
            <wp:docPr id="8" name="Obrázek 8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4A">
        <w:rPr>
          <w:b/>
          <w:bCs/>
          <w:i/>
          <w:iCs/>
        </w:rPr>
        <w:t>Maloobchodní cena automatického držáku SCA MH01 je 749 Kč.</w:t>
      </w:r>
    </w:p>
    <w:p w:rsidR="00FE1C4A" w:rsidRDefault="00FE1C4A" w:rsidP="00FE1C4A">
      <w:pPr>
        <w:jc w:val="both"/>
        <w:rPr>
          <w:b/>
          <w:bCs/>
        </w:rPr>
      </w:pPr>
    </w:p>
    <w:p w:rsidR="00FE1C4A" w:rsidRPr="00FE1C4A" w:rsidRDefault="00FE1C4A" w:rsidP="00FE1C4A">
      <w:pPr>
        <w:jc w:val="both"/>
        <w:rPr>
          <w:b/>
          <w:bCs/>
          <w:u w:val="single"/>
        </w:rPr>
      </w:pPr>
      <w:r w:rsidRPr="00FE1C4A">
        <w:rPr>
          <w:b/>
          <w:bCs/>
          <w:u w:val="single"/>
        </w:rPr>
        <w:t xml:space="preserve">Bezpečnost nade vše! </w:t>
      </w:r>
    </w:p>
    <w:p w:rsidR="00FE1C4A" w:rsidRDefault="00FE1C4A" w:rsidP="00FE1C4A">
      <w:pPr>
        <w:jc w:val="both"/>
      </w:pPr>
      <w:r>
        <w:t xml:space="preserve">Pro řidiče, kteří si chtějí výrazně usnadnit parkování, vyrábí </w:t>
      </w:r>
      <w:proofErr w:type="spellStart"/>
      <w:r w:rsidRPr="00FE1C4A">
        <w:rPr>
          <w:b/>
          <w:bCs/>
        </w:rPr>
        <w:t>Sencor</w:t>
      </w:r>
      <w:proofErr w:type="spellEnd"/>
      <w:r w:rsidRPr="00FE1C4A">
        <w:rPr>
          <w:b/>
          <w:bCs/>
        </w:rPr>
        <w:t xml:space="preserve"> systém parkovacích senzorů SCA PARK200</w:t>
      </w:r>
      <w:r>
        <w:t>. Po instalaci 4 parkovacích senzorů řidič může sledovat na displeji přibližující se překážky, a to ve vzdálenosti od 2 do 0,3 m. Parkovací senzory se automaticky aktivují při zařazení zpátečky a zařízení vydává i zvukové varovné signály, které čitelně řidiči oznamují bezpečnost dalšího pohybu. Systém parkovacích senzorů má extra široký detekční úhel zabraňující nárazu ze strany a odolá vlivům počasí v rozmezí teplot od -</w:t>
      </w:r>
      <w:proofErr w:type="gramStart"/>
      <w:r>
        <w:t>40°C</w:t>
      </w:r>
      <w:proofErr w:type="gramEnd"/>
      <w:r>
        <w:t xml:space="preserve"> do + 80°C. </w:t>
      </w:r>
    </w:p>
    <w:p w:rsidR="00FE1C4A" w:rsidRPr="00FE1C4A" w:rsidRDefault="00FE1C4A" w:rsidP="00FE1C4A">
      <w:pPr>
        <w:jc w:val="both"/>
        <w:rPr>
          <w:i/>
          <w:iCs/>
        </w:rPr>
      </w:pPr>
      <w:r w:rsidRPr="00FE1C4A">
        <w:rPr>
          <w:i/>
          <w:iCs/>
        </w:rPr>
        <w:t xml:space="preserve">Maloobchodní cena systému parkovacích senzorů </w:t>
      </w:r>
      <w:proofErr w:type="spellStart"/>
      <w:r w:rsidRPr="00FE1C4A">
        <w:rPr>
          <w:i/>
          <w:iCs/>
        </w:rPr>
        <w:t>Sencor</w:t>
      </w:r>
      <w:proofErr w:type="spellEnd"/>
      <w:r w:rsidRPr="00FE1C4A">
        <w:rPr>
          <w:i/>
          <w:iCs/>
        </w:rPr>
        <w:t xml:space="preserve"> SCA PARK200 je 999 Kč.</w:t>
      </w:r>
    </w:p>
    <w:p w:rsidR="00FE1C4A" w:rsidRPr="00811825" w:rsidRDefault="00FE1C4A" w:rsidP="00FE1C4A">
      <w:pPr>
        <w:jc w:val="both"/>
        <w:rPr>
          <w:rFonts w:ascii="Times New Roman" w:eastAsia="Times New Roman" w:hAnsi="Times New Roman"/>
          <w:lang w:eastAsia="cs-CZ"/>
        </w:rPr>
      </w:pPr>
      <w:r w:rsidRPr="00811825">
        <w:rPr>
          <w:rFonts w:ascii="Times New Roman" w:eastAsia="Times New Roman" w:hAnsi="Times New Roman"/>
          <w:lang w:eastAsia="cs-CZ"/>
        </w:rPr>
        <w:fldChar w:fldCharType="begin"/>
      </w:r>
      <w:r w:rsidRPr="00811825">
        <w:rPr>
          <w:rFonts w:ascii="Times New Roman" w:eastAsia="Times New Roman" w:hAnsi="Times New Roman"/>
          <w:lang w:eastAsia="cs-CZ"/>
        </w:rPr>
        <w:instrText xml:space="preserve"> INCLUDEPICTURE "https://www.sencor.cz/getattachment/audio-video/autoelektronika/parkovaci-senzory-a-kamery/sca-park200/scapark200.jpg.aspx?ext=.jpg&amp;lang=cs-cz&amp;width=4000" \* MERGEFORMATINET </w:instrText>
      </w:r>
      <w:r w:rsidRPr="00811825">
        <w:rPr>
          <w:rFonts w:ascii="Times New Roman" w:eastAsia="Times New Roman" w:hAnsi="Times New Roman"/>
          <w:lang w:eastAsia="cs-CZ"/>
        </w:rPr>
        <w:fldChar w:fldCharType="end"/>
      </w:r>
    </w:p>
    <w:p w:rsidR="00FE1C4A" w:rsidRPr="00FE1C4A" w:rsidRDefault="00FE1C4A" w:rsidP="00FE1C4A">
      <w:pPr>
        <w:jc w:val="both"/>
        <w:rPr>
          <w:b/>
          <w:bCs/>
          <w:u w:val="single"/>
        </w:rPr>
      </w:pPr>
      <w:r w:rsidRPr="002D3425">
        <w:rPr>
          <w:rFonts w:ascii="Times New Roman" w:eastAsia="Times New Roman" w:hAnsi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D03B53F" wp14:editId="024D0B81">
            <wp:simplePos x="0" y="0"/>
            <wp:positionH relativeFrom="column">
              <wp:posOffset>4784725</wp:posOffset>
            </wp:positionH>
            <wp:positionV relativeFrom="paragraph">
              <wp:posOffset>87630</wp:posOffset>
            </wp:positionV>
            <wp:extent cx="1720850" cy="1720850"/>
            <wp:effectExtent l="0" t="0" r="6350" b="6350"/>
            <wp:wrapSquare wrapText="bothSides"/>
            <wp:docPr id="9" name="Obrázek 9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4A">
        <w:rPr>
          <w:b/>
          <w:bCs/>
          <w:u w:val="single"/>
        </w:rPr>
        <w:t xml:space="preserve">Automobilní kamera </w:t>
      </w:r>
      <w:proofErr w:type="spellStart"/>
      <w:r w:rsidRPr="00FE1C4A">
        <w:rPr>
          <w:b/>
          <w:bCs/>
          <w:u w:val="single"/>
        </w:rPr>
        <w:t>Sencor</w:t>
      </w:r>
      <w:proofErr w:type="spellEnd"/>
      <w:r w:rsidRPr="00FE1C4A">
        <w:rPr>
          <w:b/>
          <w:bCs/>
          <w:u w:val="single"/>
        </w:rPr>
        <w:t xml:space="preserve"> SCR 5000GS – pomocník pro řešení pojistných událostí </w:t>
      </w:r>
    </w:p>
    <w:p w:rsidR="00FE1C4A" w:rsidRDefault="00FE1C4A" w:rsidP="00FE1C4A">
      <w:pPr>
        <w:jc w:val="both"/>
      </w:pPr>
      <w:r w:rsidRPr="00F80704">
        <w:t>SCR 5000GS je výkonná, a přesto sympaticky malá</w:t>
      </w:r>
      <w:r>
        <w:t xml:space="preserve"> automobilní kamera</w:t>
      </w:r>
      <w:r w:rsidRPr="00F80704">
        <w:t xml:space="preserve">. </w:t>
      </w:r>
      <w:r>
        <w:t>Pořizuje kvalitní</w:t>
      </w:r>
      <w:r w:rsidRPr="00F80704">
        <w:t xml:space="preserve"> záznam v nativním rozlišení až Full HD (1920x1080 bodů). Při jízdě v noci se</w:t>
      </w:r>
      <w:r>
        <w:t xml:space="preserve"> pak</w:t>
      </w:r>
      <w:r w:rsidRPr="00F80704">
        <w:t xml:space="preserve"> </w:t>
      </w:r>
      <w:r>
        <w:t>přepíná</w:t>
      </w:r>
      <w:r w:rsidRPr="00F80704">
        <w:t xml:space="preserve"> do režimu STARLIGHT VISION, se kterým bude záznam stejný jako vidění řidiče. </w:t>
      </w:r>
      <w:r>
        <w:t>V nočním režimu lze zvolit ze</w:t>
      </w:r>
      <w:r w:rsidRPr="00F80704">
        <w:t xml:space="preserve"> dvou nočních filtrů, barevného a černobílého. </w:t>
      </w:r>
      <w:r>
        <w:t>Zabudovaný</w:t>
      </w:r>
      <w:r w:rsidRPr="00F80704">
        <w:t xml:space="preserve"> GPS modul</w:t>
      </w:r>
      <w:r>
        <w:t xml:space="preserve"> </w:t>
      </w:r>
      <w:r w:rsidRPr="00F80704">
        <w:t xml:space="preserve">zobrazí vaši rychlost na displeji a zaznamená </w:t>
      </w:r>
      <w:r>
        <w:t>aktuální</w:t>
      </w:r>
      <w:r w:rsidRPr="00F80704">
        <w:t xml:space="preserve"> polohu do videosouborů.</w:t>
      </w:r>
      <w:r>
        <w:t xml:space="preserve"> </w:t>
      </w:r>
      <w:r w:rsidRPr="00F80704">
        <w:t>Ty lze zhlédnout v běžném přehrávači nebo v aplikaci načíst celou projetou trasu a přehledně ji zobrazit v mapě. Samozřejmostí je nahrávání ve smyčce</w:t>
      </w:r>
      <w:r>
        <w:t>, kdy je</w:t>
      </w:r>
      <w:r w:rsidRPr="00F80704">
        <w:t xml:space="preserve"> nejstarší záznam je nahrazen novým</w:t>
      </w:r>
      <w:r>
        <w:t xml:space="preserve"> a trvale uložen bude jen ten, které jsou opravdu potřeba.</w:t>
      </w:r>
      <w:r w:rsidRPr="00F80704">
        <w:t xml:space="preserve"> G-Senzor rozpozná náraz a uzamkne daný záznam pro pozdější použití při dokazování viníka nehody.</w:t>
      </w:r>
    </w:p>
    <w:p w:rsidR="00FE1C4A" w:rsidRPr="00FE1C4A" w:rsidRDefault="00FE1C4A" w:rsidP="00FE1C4A">
      <w:pPr>
        <w:jc w:val="both"/>
        <w:rPr>
          <w:i/>
          <w:iCs/>
        </w:rPr>
      </w:pPr>
      <w:r w:rsidRPr="00FE1C4A">
        <w:rPr>
          <w:i/>
          <w:iCs/>
        </w:rPr>
        <w:t xml:space="preserve">Maloobchodní cena automobilní kamery </w:t>
      </w:r>
      <w:proofErr w:type="spellStart"/>
      <w:r w:rsidRPr="00FE1C4A">
        <w:rPr>
          <w:i/>
          <w:iCs/>
        </w:rPr>
        <w:t>Sencor</w:t>
      </w:r>
      <w:proofErr w:type="spellEnd"/>
      <w:r w:rsidRPr="00FE1C4A">
        <w:rPr>
          <w:i/>
          <w:iCs/>
        </w:rPr>
        <w:t xml:space="preserve"> SCR 5000GS je 1 499 Kč.</w:t>
      </w:r>
    </w:p>
    <w:p w:rsidR="00FE1C4A" w:rsidRPr="00811825" w:rsidRDefault="00FE1C4A" w:rsidP="00FE1C4A">
      <w:pPr>
        <w:jc w:val="both"/>
      </w:pPr>
      <w:r w:rsidRPr="00811825">
        <w:fldChar w:fldCharType="begin"/>
      </w:r>
      <w:r w:rsidRPr="00811825">
        <w:instrText xml:space="preserve"> INCLUDEPICTURE "https://www.sencor.cz/Sencor/media/static-files/d5ea6068-8c5c-4606-8c83-1ee5046aa93f@w1000.webp" \* MERGEFORMATINET </w:instrText>
      </w:r>
      <w:r w:rsidRPr="00811825">
        <w:fldChar w:fldCharType="end"/>
      </w:r>
    </w:p>
    <w:p w:rsidR="00FE1C4A" w:rsidRDefault="00FE1C4A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2D01C8" w:rsidRPr="00A17F7A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A17F7A">
        <w:rPr>
          <w:rFonts w:asciiTheme="minorHAnsi" w:hAnsiTheme="minorHAnsi" w:cstheme="minorHAnsi"/>
          <w:i/>
          <w:szCs w:val="24"/>
        </w:rPr>
        <w:t>O značce SENCOR:</w:t>
      </w:r>
    </w:p>
    <w:p w:rsidR="00C751D9" w:rsidRPr="00A17F7A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A17F7A">
        <w:rPr>
          <w:rFonts w:asciiTheme="minorHAnsi" w:hAnsiTheme="minorHAnsi" w:cstheme="minorHAnsi"/>
          <w:i/>
          <w:szCs w:val="24"/>
        </w:rPr>
        <w:t>Značka SENCOR se poprvé objevila v Japonsku ve vlně nově vznikajících značek, jako bylo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designéří jsou špičkoví odborníci, kteří přináší do našich domovů moderní výrobky, které nejsou jen šedo-černo-bílé, ale nebojí se barviček a radosti. Značka SENCOR se drží pravidla: Kvalita za odpovídající cenu – ani koruna navíc!</w:t>
      </w: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969CF" w:rsidRPr="00D65403" w:rsidRDefault="002969CF" w:rsidP="002969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5403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D65403">
        <w:rPr>
          <w:rFonts w:asciiTheme="minorHAnsi" w:hAnsiTheme="minorHAnsi" w:cstheme="minorHAnsi"/>
          <w:b/>
          <w:sz w:val="24"/>
          <w:szCs w:val="24"/>
        </w:rPr>
        <w:br/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Eva </w:t>
      </w:r>
      <w:proofErr w:type="gramStart"/>
      <w:r w:rsidR="005752EC" w:rsidRPr="00D65403">
        <w:rPr>
          <w:rFonts w:asciiTheme="minorHAnsi" w:hAnsiTheme="minorHAnsi" w:cstheme="minorHAnsi"/>
          <w:sz w:val="24"/>
          <w:szCs w:val="24"/>
        </w:rPr>
        <w:t>Kašparová</w:t>
      </w:r>
      <w:r w:rsidRPr="00D65403">
        <w:rPr>
          <w:rFonts w:asciiTheme="minorHAnsi" w:hAnsiTheme="minorHAnsi" w:cstheme="minorHAnsi"/>
          <w:sz w:val="24"/>
          <w:szCs w:val="24"/>
        </w:rPr>
        <w:t xml:space="preserve"> - PHOENIX</w:t>
      </w:r>
      <w:proofErr w:type="gramEnd"/>
      <w:r w:rsidRPr="00D65403">
        <w:rPr>
          <w:rFonts w:asciiTheme="minorHAnsi" w:hAnsiTheme="minorHAnsi" w:cstheme="minorHAnsi"/>
          <w:sz w:val="24"/>
          <w:szCs w:val="24"/>
        </w:rPr>
        <w:t xml:space="preserve"> COMMUNICATION</w:t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 a.s.</w:t>
      </w:r>
    </w:p>
    <w:p w:rsidR="006321E6" w:rsidRDefault="00171669" w:rsidP="002D01C8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4" w:history="1">
        <w:r w:rsidR="005752EC" w:rsidRPr="00D65403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2D01C8">
        <w:rPr>
          <w:rFonts w:asciiTheme="minorHAnsi" w:hAnsiTheme="minorHAnsi" w:cstheme="minorHAnsi"/>
          <w:sz w:val="24"/>
          <w:szCs w:val="24"/>
        </w:rPr>
        <w:t xml:space="preserve">, </w:t>
      </w:r>
      <w:r w:rsidR="002969CF" w:rsidRPr="00D65403">
        <w:rPr>
          <w:rFonts w:asciiTheme="minorHAnsi" w:hAnsiTheme="minorHAnsi" w:cstheme="minorHAnsi"/>
          <w:i/>
          <w:sz w:val="24"/>
          <w:szCs w:val="24"/>
        </w:rPr>
        <w:t xml:space="preserve">(00420) 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608 678</w:t>
      </w:r>
      <w:r w:rsidR="00165E5E">
        <w:rPr>
          <w:rFonts w:asciiTheme="minorHAnsi" w:hAnsiTheme="minorHAnsi" w:cstheme="minorHAnsi"/>
          <w:i/>
          <w:sz w:val="24"/>
          <w:szCs w:val="24"/>
        </w:rPr>
        <w:t> 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581</w:t>
      </w:r>
    </w:p>
    <w:p w:rsidR="00165E5E" w:rsidRPr="00D65403" w:rsidRDefault="00165E5E" w:rsidP="002D01C8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165E5E" w:rsidRPr="00D6540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1669" w:rsidRDefault="00171669">
      <w:pPr>
        <w:spacing w:after="0" w:line="240" w:lineRule="auto"/>
      </w:pPr>
      <w:r>
        <w:separator/>
      </w:r>
    </w:p>
  </w:endnote>
  <w:endnote w:type="continuationSeparator" w:id="0">
    <w:p w:rsidR="00171669" w:rsidRDefault="0017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1669" w:rsidRDefault="00171669">
      <w:pPr>
        <w:spacing w:after="0" w:line="240" w:lineRule="auto"/>
      </w:pPr>
      <w:r>
        <w:separator/>
      </w:r>
    </w:p>
  </w:footnote>
  <w:footnote w:type="continuationSeparator" w:id="0">
    <w:p w:rsidR="00171669" w:rsidRDefault="0017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403" w:rsidRDefault="00D65403" w:rsidP="005752EC">
    <w:pPr>
      <w:pStyle w:val="Zhlav"/>
    </w:pPr>
    <w:r w:rsidRPr="005A6977">
      <w:rPr>
        <w:i/>
        <w:color w:val="808080"/>
      </w:rPr>
      <w:t xml:space="preserve">TISKOVÁ ZPRÁVA              </w:t>
    </w:r>
    <w:r>
      <w:rPr>
        <w:i/>
        <w:color w:val="808080"/>
      </w:rPr>
      <w:t xml:space="preserve">                                              </w:t>
    </w:r>
    <w:r w:rsidRPr="005A6977">
      <w:rPr>
        <w:i/>
        <w:color w:val="808080"/>
      </w:rPr>
      <w:t xml:space="preserve"> </w:t>
    </w:r>
    <w:r>
      <w:rPr>
        <w:noProof/>
      </w:rPr>
      <w:drawing>
        <wp:inline distT="0" distB="0" distL="0" distR="0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B4461"/>
    <w:multiLevelType w:val="multilevel"/>
    <w:tmpl w:val="DD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12822"/>
    <w:multiLevelType w:val="hybridMultilevel"/>
    <w:tmpl w:val="63703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386"/>
    <w:multiLevelType w:val="multilevel"/>
    <w:tmpl w:val="BC4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CF"/>
    <w:rsid w:val="0002659F"/>
    <w:rsid w:val="000571C7"/>
    <w:rsid w:val="00085E5B"/>
    <w:rsid w:val="000C4931"/>
    <w:rsid w:val="000F6D83"/>
    <w:rsid w:val="0012785E"/>
    <w:rsid w:val="00137DCE"/>
    <w:rsid w:val="00144007"/>
    <w:rsid w:val="00144C08"/>
    <w:rsid w:val="00165E5E"/>
    <w:rsid w:val="00171669"/>
    <w:rsid w:val="00181F6C"/>
    <w:rsid w:val="0019097D"/>
    <w:rsid w:val="00190C3D"/>
    <w:rsid w:val="00195029"/>
    <w:rsid w:val="001B56EB"/>
    <w:rsid w:val="001D0314"/>
    <w:rsid w:val="001E124D"/>
    <w:rsid w:val="001F0FB0"/>
    <w:rsid w:val="00204ACF"/>
    <w:rsid w:val="002345AB"/>
    <w:rsid w:val="00235272"/>
    <w:rsid w:val="00255E68"/>
    <w:rsid w:val="00266130"/>
    <w:rsid w:val="0026634A"/>
    <w:rsid w:val="002969CF"/>
    <w:rsid w:val="002A5493"/>
    <w:rsid w:val="002D01C8"/>
    <w:rsid w:val="002D44C8"/>
    <w:rsid w:val="00321B95"/>
    <w:rsid w:val="00330696"/>
    <w:rsid w:val="0034401C"/>
    <w:rsid w:val="00387D91"/>
    <w:rsid w:val="003C7498"/>
    <w:rsid w:val="003E4626"/>
    <w:rsid w:val="003F119A"/>
    <w:rsid w:val="0040090B"/>
    <w:rsid w:val="00416D39"/>
    <w:rsid w:val="00450AB6"/>
    <w:rsid w:val="0046371C"/>
    <w:rsid w:val="00464C22"/>
    <w:rsid w:val="00465C38"/>
    <w:rsid w:val="004679EE"/>
    <w:rsid w:val="00473EDF"/>
    <w:rsid w:val="004B21AD"/>
    <w:rsid w:val="00503242"/>
    <w:rsid w:val="005053C3"/>
    <w:rsid w:val="005310B6"/>
    <w:rsid w:val="00560FEE"/>
    <w:rsid w:val="005752EC"/>
    <w:rsid w:val="005B0268"/>
    <w:rsid w:val="005D64D4"/>
    <w:rsid w:val="00604207"/>
    <w:rsid w:val="006321E6"/>
    <w:rsid w:val="00635060"/>
    <w:rsid w:val="006A2A0B"/>
    <w:rsid w:val="006B4D87"/>
    <w:rsid w:val="006E0040"/>
    <w:rsid w:val="006F1C58"/>
    <w:rsid w:val="007156AF"/>
    <w:rsid w:val="00741353"/>
    <w:rsid w:val="00786E99"/>
    <w:rsid w:val="0079087D"/>
    <w:rsid w:val="007B1C4F"/>
    <w:rsid w:val="007B3130"/>
    <w:rsid w:val="007B6915"/>
    <w:rsid w:val="007D43E1"/>
    <w:rsid w:val="007F5D30"/>
    <w:rsid w:val="008212A8"/>
    <w:rsid w:val="008263DF"/>
    <w:rsid w:val="0084121E"/>
    <w:rsid w:val="0086647A"/>
    <w:rsid w:val="008848DC"/>
    <w:rsid w:val="00894EC1"/>
    <w:rsid w:val="008962BD"/>
    <w:rsid w:val="008E6EA7"/>
    <w:rsid w:val="008F4A2A"/>
    <w:rsid w:val="00902DB1"/>
    <w:rsid w:val="00915EE5"/>
    <w:rsid w:val="0093531C"/>
    <w:rsid w:val="009D3959"/>
    <w:rsid w:val="009E4F55"/>
    <w:rsid w:val="009F7E11"/>
    <w:rsid w:val="00A17F7A"/>
    <w:rsid w:val="00A44CE9"/>
    <w:rsid w:val="00AA1312"/>
    <w:rsid w:val="00AA6A04"/>
    <w:rsid w:val="00B14552"/>
    <w:rsid w:val="00B222AC"/>
    <w:rsid w:val="00B518A7"/>
    <w:rsid w:val="00B80370"/>
    <w:rsid w:val="00B815C5"/>
    <w:rsid w:val="00BA41A6"/>
    <w:rsid w:val="00BA5201"/>
    <w:rsid w:val="00BD4CE9"/>
    <w:rsid w:val="00BE1403"/>
    <w:rsid w:val="00C26350"/>
    <w:rsid w:val="00C751D9"/>
    <w:rsid w:val="00CA7571"/>
    <w:rsid w:val="00CC660D"/>
    <w:rsid w:val="00CE5DEE"/>
    <w:rsid w:val="00D47E7D"/>
    <w:rsid w:val="00D65403"/>
    <w:rsid w:val="00D67696"/>
    <w:rsid w:val="00D70D09"/>
    <w:rsid w:val="00D90880"/>
    <w:rsid w:val="00D91C92"/>
    <w:rsid w:val="00DA7022"/>
    <w:rsid w:val="00DC5C6A"/>
    <w:rsid w:val="00E3188B"/>
    <w:rsid w:val="00E62AFC"/>
    <w:rsid w:val="00E85E1D"/>
    <w:rsid w:val="00E90264"/>
    <w:rsid w:val="00E91D3D"/>
    <w:rsid w:val="00EB2D4D"/>
    <w:rsid w:val="00EC7A61"/>
    <w:rsid w:val="00F06492"/>
    <w:rsid w:val="00F32208"/>
    <w:rsid w:val="00F35D84"/>
    <w:rsid w:val="00F415B9"/>
    <w:rsid w:val="00F7514D"/>
    <w:rsid w:val="00F836DB"/>
    <w:rsid w:val="00F97A35"/>
    <w:rsid w:val="00FD6118"/>
    <w:rsid w:val="00FE1C4A"/>
    <w:rsid w:val="00FE7F5A"/>
    <w:rsid w:val="00FF05A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7532C"/>
  <w15:chartTrackingRefBased/>
  <w15:docId w15:val="{6F210FA0-8F94-F841-888F-99934CE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2969C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6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9C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91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9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3" ma:contentTypeDescription="Vytvoří nový dokument" ma:contentTypeScope="" ma:versionID="792eb0e12d71592c71f35f174efad836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1d884f183fa235189c9cb4416c6c2d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67160-A93E-43F3-BA50-03F9CDFF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cp:lastModifiedBy>Eva Kašparová | PHOENIXCOM</cp:lastModifiedBy>
  <cp:revision>2</cp:revision>
  <dcterms:created xsi:type="dcterms:W3CDTF">2020-05-25T10:10:00Z</dcterms:created>
  <dcterms:modified xsi:type="dcterms:W3CDTF">2020-05-25T10:10:00Z</dcterms:modified>
</cp:coreProperties>
</file>