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C20F" w14:textId="77777777" w:rsidR="00764787" w:rsidRDefault="00764787" w:rsidP="00552F1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A24B6C" w14:textId="77777777" w:rsidR="00CF2330" w:rsidRPr="00CF2330" w:rsidRDefault="00CF2330" w:rsidP="00CF23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CF2330">
        <w:rPr>
          <w:rFonts w:asciiTheme="minorHAnsi" w:hAnsiTheme="minorHAnsi" w:cstheme="minorHAnsi"/>
          <w:b/>
          <w:sz w:val="28"/>
          <w:szCs w:val="28"/>
        </w:rPr>
        <w:t>Sencor</w:t>
      </w:r>
      <w:proofErr w:type="spellEnd"/>
      <w:r w:rsidRPr="00CF2330">
        <w:rPr>
          <w:rFonts w:asciiTheme="minorHAnsi" w:hAnsiTheme="minorHAnsi" w:cstheme="minorHAnsi"/>
          <w:b/>
          <w:sz w:val="28"/>
          <w:szCs w:val="28"/>
        </w:rPr>
        <w:t xml:space="preserve"> SHA 8640WH</w:t>
      </w:r>
    </w:p>
    <w:p w14:paraId="243430D9" w14:textId="77777777" w:rsidR="00CF2330" w:rsidRPr="00CF2330" w:rsidRDefault="00CF2330" w:rsidP="00CF233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42BAAB" w14:textId="509A7137" w:rsidR="00CF2330" w:rsidRPr="00CF2330" w:rsidRDefault="00CF2330" w:rsidP="00CF233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330">
        <w:rPr>
          <w:rFonts w:asciiTheme="minorHAnsi" w:hAnsiTheme="minorHAnsi" w:cstheme="minorHAnsi"/>
          <w:bCs/>
          <w:sz w:val="24"/>
          <w:szCs w:val="24"/>
        </w:rPr>
        <w:t>Praha, 26.4.2022 -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2330">
        <w:rPr>
          <w:rFonts w:asciiTheme="minorHAnsi" w:hAnsiTheme="minorHAnsi" w:cstheme="minorHAnsi"/>
          <w:b/>
          <w:sz w:val="24"/>
          <w:szCs w:val="24"/>
        </w:rPr>
        <w:t>V České republice trpí podle největší české zdravotní pojišťovny VZP nějakou formou alergie přes 2 miliony lidí. Ovšem atopické geny si nese přes 40 % populace a některých je až 75% pravděpodobnost, že propuknou v alergické onemocnění. I když alergii nemůžeme zabránit, můžeme se chránit jejím spouštěčům. Třeba použitím čističky vzduchu.</w:t>
      </w:r>
    </w:p>
    <w:p w14:paraId="77FFF0AF" w14:textId="0237774C" w:rsidR="00CF2330" w:rsidRPr="00CF2330" w:rsidRDefault="00CF2330" w:rsidP="00CF233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2330">
        <w:rPr>
          <w:rFonts w:asciiTheme="minorHAnsi" w:hAnsiTheme="minorHAnsi" w:cstheme="minorHAnsi"/>
          <w:bCs/>
          <w:sz w:val="24"/>
          <w:szCs w:val="24"/>
        </w:rPr>
        <w:t xml:space="preserve">Nejčastější alergií, se kterou se běžně setkal snad každý, je alergický rýma. </w:t>
      </w:r>
      <w:r w:rsidR="00920ADB">
        <w:rPr>
          <w:rFonts w:asciiTheme="minorHAnsi" w:hAnsiTheme="minorHAnsi" w:cstheme="minorHAnsi"/>
          <w:bCs/>
          <w:sz w:val="24"/>
          <w:szCs w:val="24"/>
        </w:rPr>
        <w:t>V</w:t>
      </w:r>
      <w:r w:rsidRPr="00CF2330">
        <w:rPr>
          <w:rFonts w:asciiTheme="minorHAnsi" w:hAnsiTheme="minorHAnsi" w:cstheme="minorHAnsi"/>
          <w:bCs/>
          <w:sz w:val="24"/>
          <w:szCs w:val="24"/>
        </w:rPr>
        <w:t>íce než 20 % populace trpí sennou rýmou, tedy přesněji pylovou sezónní alergií (</w:t>
      </w:r>
      <w:proofErr w:type="spellStart"/>
      <w:r w:rsidRPr="00CF2330">
        <w:rPr>
          <w:rFonts w:asciiTheme="minorHAnsi" w:hAnsiTheme="minorHAnsi" w:cstheme="minorHAnsi"/>
          <w:bCs/>
          <w:sz w:val="24"/>
          <w:szCs w:val="24"/>
        </w:rPr>
        <w:t>polinózou</w:t>
      </w:r>
      <w:proofErr w:type="spellEnd"/>
      <w:r w:rsidRPr="00CF2330">
        <w:rPr>
          <w:rFonts w:asciiTheme="minorHAnsi" w:hAnsiTheme="minorHAnsi" w:cstheme="minorHAnsi"/>
          <w:bCs/>
          <w:sz w:val="24"/>
          <w:szCs w:val="24"/>
        </w:rPr>
        <w:t>), protože nejde pouze o alergii na seno a další velká skupina je „alergická na prach“. Toto zažité označení, podobně jako senná rýma, je ovšem nepřesné. Prach je vlastně směs organických i anorganických hmot, které se liší podle prostředí a spouštěčem alergie jeho určitá složka. Například v domácnosti jsou to obvykle roztoči.</w:t>
      </w:r>
    </w:p>
    <w:p w14:paraId="051E0A5D" w14:textId="2662D391" w:rsidR="00CF2330" w:rsidRPr="00CF2330" w:rsidRDefault="00CF2330" w:rsidP="00CF233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2330">
        <w:rPr>
          <w:rFonts w:asciiTheme="minorHAnsi" w:hAnsiTheme="minorHAnsi" w:cstheme="minorHAnsi"/>
          <w:bCs/>
          <w:sz w:val="24"/>
          <w:szCs w:val="24"/>
        </w:rPr>
        <w:t>K alergii máme bohužel genetické predispozice a v podstatě ji nejde preventivně předcházet. Můžeme se ovšem pokusit minimalizovat výskyt spouštěčů, tedy alergenů</w:t>
      </w:r>
      <w:r w:rsidR="00920ADB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F2330">
        <w:rPr>
          <w:rFonts w:asciiTheme="minorHAnsi" w:hAnsiTheme="minorHAnsi" w:cstheme="minorHAnsi"/>
          <w:bCs/>
          <w:sz w:val="24"/>
          <w:szCs w:val="24"/>
        </w:rPr>
        <w:t>alespoň v kontrolou prostředí. V domácnosti se nabízí jako jednoduché řešení, jak předcházet většině nežádoucích reakcí na různé pyly, plísně, roztoče nebo zvířecí chlupy přenášen</w:t>
      </w:r>
      <w:r w:rsidR="00920ADB">
        <w:rPr>
          <w:rFonts w:asciiTheme="minorHAnsi" w:hAnsiTheme="minorHAnsi" w:cstheme="minorHAnsi"/>
          <w:bCs/>
          <w:sz w:val="24"/>
          <w:szCs w:val="24"/>
        </w:rPr>
        <w:t xml:space="preserve">é </w:t>
      </w:r>
      <w:r w:rsidRPr="00CF2330">
        <w:rPr>
          <w:rFonts w:asciiTheme="minorHAnsi" w:hAnsiTheme="minorHAnsi" w:cstheme="minorHAnsi"/>
          <w:bCs/>
          <w:sz w:val="24"/>
          <w:szCs w:val="24"/>
        </w:rPr>
        <w:t xml:space="preserve">vzduchem, čistička. </w:t>
      </w:r>
      <w:proofErr w:type="spellStart"/>
      <w:r w:rsidRPr="00CF2330">
        <w:rPr>
          <w:rFonts w:asciiTheme="minorHAnsi" w:hAnsiTheme="minorHAnsi" w:cstheme="minorHAnsi"/>
          <w:bCs/>
          <w:sz w:val="24"/>
          <w:szCs w:val="24"/>
        </w:rPr>
        <w:t>Sencor</w:t>
      </w:r>
      <w:proofErr w:type="spellEnd"/>
      <w:r w:rsidRPr="00CF2330">
        <w:rPr>
          <w:rFonts w:asciiTheme="minorHAnsi" w:hAnsiTheme="minorHAnsi" w:cstheme="minorHAnsi"/>
          <w:bCs/>
          <w:sz w:val="24"/>
          <w:szCs w:val="24"/>
        </w:rPr>
        <w:t xml:space="preserve"> proto nyní na jaře, kdy začíná pylová sezóna, která bude alergiky trápit až do půlky podzimu, zařadil do nabídky novou </w:t>
      </w:r>
      <w:r w:rsidRPr="00A76F90">
        <w:rPr>
          <w:rFonts w:asciiTheme="minorHAnsi" w:hAnsiTheme="minorHAnsi" w:cstheme="minorHAnsi"/>
          <w:b/>
          <w:sz w:val="24"/>
          <w:szCs w:val="24"/>
        </w:rPr>
        <w:t>čističku vzduchu se zvlhčovačem</w:t>
      </w:r>
      <w:r w:rsidRPr="00CF233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F2330">
        <w:rPr>
          <w:rFonts w:asciiTheme="minorHAnsi" w:hAnsiTheme="minorHAnsi" w:cstheme="minorHAnsi"/>
          <w:b/>
          <w:sz w:val="24"/>
          <w:szCs w:val="24"/>
        </w:rPr>
        <w:t>Sencor</w:t>
      </w:r>
      <w:proofErr w:type="spellEnd"/>
      <w:r w:rsidRPr="00CF2330">
        <w:rPr>
          <w:rFonts w:asciiTheme="minorHAnsi" w:hAnsiTheme="minorHAnsi" w:cstheme="minorHAnsi"/>
          <w:b/>
          <w:sz w:val="24"/>
          <w:szCs w:val="24"/>
        </w:rPr>
        <w:t xml:space="preserve"> SHA 8640WH</w:t>
      </w:r>
      <w:r w:rsidRPr="00CF2330">
        <w:rPr>
          <w:rFonts w:asciiTheme="minorHAnsi" w:hAnsiTheme="minorHAnsi" w:cstheme="minorHAnsi"/>
          <w:bCs/>
          <w:sz w:val="24"/>
          <w:szCs w:val="24"/>
        </w:rPr>
        <w:t>. Ta pracuje s vícestupňovou filtrací vzduchu přes předfiltr, karbonový filtr a HEPA H13 filtr. Kombinovaný uhlíkový a vláknový filtr odstraňuje TVOC (směs těkavých organických sloučenin) a formaldehyd, o zápach a barvu ve vzduchu se postará uhlíkový filtr a HEPA H13 zachytí 99,97 % prachu a alergenů o velikosti pouhých 0,3 mikrometru, jako je domácí prach, zvířecí srst, spory plísní a pyly rostlin. K likvidaci nežádoucích živých organismů je vybavena UV lampou. Zároveň dokáže vzduch osvěžit ionizací nebo přidáním bezpečné dávky ozónu.</w:t>
      </w:r>
    </w:p>
    <w:p w14:paraId="6C8049AE" w14:textId="0642C2E1" w:rsidR="00CF2330" w:rsidRPr="00CF2330" w:rsidRDefault="00CF2330" w:rsidP="00CF233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2330">
        <w:rPr>
          <w:rFonts w:asciiTheme="minorHAnsi" w:hAnsiTheme="minorHAnsi" w:cstheme="minorHAnsi"/>
          <w:bCs/>
          <w:sz w:val="24"/>
          <w:szCs w:val="24"/>
        </w:rPr>
        <w:t>Zvlhčování vzduchu pak využijete nejen během topné sezóny, kdy klesá v místnostech vlhkost vzduchu až k 20% (ideální je rozmezí 40 % až 60 %), ale všude tam</w:t>
      </w:r>
      <w:r w:rsidR="00A76F90">
        <w:rPr>
          <w:rFonts w:asciiTheme="minorHAnsi" w:hAnsiTheme="minorHAnsi" w:cstheme="minorHAnsi"/>
          <w:bCs/>
          <w:sz w:val="24"/>
          <w:szCs w:val="24"/>
        </w:rPr>
        <w:t>,</w:t>
      </w:r>
      <w:r w:rsidRPr="00CF2330">
        <w:rPr>
          <w:rFonts w:asciiTheme="minorHAnsi" w:hAnsiTheme="minorHAnsi" w:cstheme="minorHAnsi"/>
          <w:bCs/>
          <w:sz w:val="24"/>
          <w:szCs w:val="24"/>
        </w:rPr>
        <w:t xml:space="preserve"> kde z nějakého důvodu vzniká suchý vzduch. Ten nám příliš nesvědčí, protože vysušuje sliznice i pokožku. A to může vést například k zhoršení atopického ekzému nebo zhoršení dýchání, kdy suchá sliznice není schopna plnit svoji obrannou funkci. </w:t>
      </w:r>
    </w:p>
    <w:p w14:paraId="10978562" w14:textId="77777777" w:rsidR="00CF2330" w:rsidRPr="00CF2330" w:rsidRDefault="00CF2330" w:rsidP="00CF233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CF2330">
        <w:rPr>
          <w:rFonts w:asciiTheme="minorHAnsi" w:hAnsiTheme="minorHAnsi" w:cstheme="minorHAnsi"/>
          <w:b/>
          <w:sz w:val="24"/>
          <w:szCs w:val="24"/>
        </w:rPr>
        <w:t>Sencor</w:t>
      </w:r>
      <w:proofErr w:type="spellEnd"/>
      <w:r w:rsidRPr="00CF2330">
        <w:rPr>
          <w:rFonts w:asciiTheme="minorHAnsi" w:hAnsiTheme="minorHAnsi" w:cstheme="minorHAnsi"/>
          <w:b/>
          <w:sz w:val="24"/>
          <w:szCs w:val="24"/>
        </w:rPr>
        <w:t xml:space="preserve"> SHA 8640WH</w:t>
      </w:r>
      <w:r w:rsidRPr="00CF2330">
        <w:rPr>
          <w:rFonts w:asciiTheme="minorHAnsi" w:hAnsiTheme="minorHAnsi" w:cstheme="minorHAnsi"/>
          <w:bCs/>
          <w:sz w:val="24"/>
          <w:szCs w:val="24"/>
        </w:rPr>
        <w:t xml:space="preserve"> dále nabídne kromě automatického režimu s nastavením rychlosti ventilátoru pro úsporu energie podle aktuální kvality ovzduší další 4 rychlosti čištění (hladina hluku: &lt; 43 / 49 / 59 / &lt; 62 dB) a režim SLEEP, kdy dosahuje hlučnosti pouze 28 dB, takže můžete pohodlně a klidně spát i se spuštěným čištěním vzduchu. K dispozici je také časovač s automatickým vypnutím po 2/4/8/12 hodinách a snadnou údržbu a výměnu filtru dovoluje přední magneticky přilnavý kryt.</w:t>
      </w:r>
    </w:p>
    <w:p w14:paraId="1FE4CD1B" w14:textId="77777777" w:rsidR="00CF2330" w:rsidRPr="00CF2330" w:rsidRDefault="00CF2330" w:rsidP="00CF233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1B77BB" w14:textId="4A3AF5C6" w:rsidR="008A0293" w:rsidRPr="00CF2330" w:rsidRDefault="00CF2330" w:rsidP="00CF233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2330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Čistička vzduchu se zvlhčovačem </w:t>
      </w:r>
      <w:proofErr w:type="spellStart"/>
      <w:r w:rsidRPr="00CF2330">
        <w:rPr>
          <w:rFonts w:asciiTheme="minorHAnsi" w:hAnsiTheme="minorHAnsi" w:cstheme="minorHAnsi"/>
          <w:b/>
          <w:sz w:val="24"/>
          <w:szCs w:val="24"/>
        </w:rPr>
        <w:t>Sencor</w:t>
      </w:r>
      <w:proofErr w:type="spellEnd"/>
      <w:r w:rsidRPr="00CF2330">
        <w:rPr>
          <w:rFonts w:asciiTheme="minorHAnsi" w:hAnsiTheme="minorHAnsi" w:cstheme="minorHAnsi"/>
          <w:b/>
          <w:sz w:val="24"/>
          <w:szCs w:val="24"/>
        </w:rPr>
        <w:t xml:space="preserve"> SHA 8640WH</w:t>
      </w:r>
      <w:r w:rsidRPr="00CF2330">
        <w:rPr>
          <w:rFonts w:asciiTheme="minorHAnsi" w:hAnsiTheme="minorHAnsi" w:cstheme="minorHAnsi"/>
          <w:bCs/>
          <w:sz w:val="24"/>
          <w:szCs w:val="24"/>
        </w:rPr>
        <w:t xml:space="preserve"> je určena pro místnosti o velkosti 24-42 m2, její příkon je 50 W, výkon zvlhčování až 0,3 l/hodinu. Objem 3l nádržky vydrží tedy na 10-16 hodin zvlhčování podle zvolené rychlosti ventilátoru. Pro snadnou manipulaci má čistička 4 pojezdová kolečka.</w:t>
      </w:r>
    </w:p>
    <w:p w14:paraId="5B8C5200" w14:textId="77777777" w:rsidR="008A0293" w:rsidRPr="00A95EAE" w:rsidRDefault="008A0293" w:rsidP="00A95E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4710E5" w14:textId="3B5B89C7" w:rsidR="00E66D53" w:rsidRPr="00A95EAE" w:rsidRDefault="00450BD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95EAE">
        <w:rPr>
          <w:rFonts w:asciiTheme="minorHAnsi" w:hAnsiTheme="minorHAnsi" w:cstheme="minorHAnsi"/>
          <w:i/>
          <w:sz w:val="24"/>
          <w:szCs w:val="24"/>
        </w:rPr>
        <w:t>O značce SENCOR:</w:t>
      </w:r>
    </w:p>
    <w:p w14:paraId="485FE6CD" w14:textId="551A5A62" w:rsidR="00E66D53" w:rsidRPr="00A95EAE" w:rsidRDefault="00450BD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95EAE">
        <w:rPr>
          <w:rFonts w:asciiTheme="minorHAnsi" w:hAnsiTheme="minorHAnsi" w:cstheme="minorHAnsi"/>
          <w:i/>
          <w:sz w:val="24"/>
          <w:szCs w:val="24"/>
        </w:rPr>
        <w:t xml:space="preserve">Značka SENCOR se poprvé objevila v Japonsku ve vlně nově vznikajících značek, jako byly Sony, Aiwa, </w:t>
      </w:r>
      <w:proofErr w:type="spellStart"/>
      <w:r w:rsidRPr="00A95EAE">
        <w:rPr>
          <w:rFonts w:asciiTheme="minorHAnsi" w:hAnsiTheme="minorHAnsi" w:cstheme="minorHAnsi"/>
          <w:i/>
          <w:sz w:val="24"/>
          <w:szCs w:val="24"/>
        </w:rPr>
        <w:t>Sanyo</w:t>
      </w:r>
      <w:proofErr w:type="spellEnd"/>
      <w:r w:rsidRPr="00A95EAE">
        <w:rPr>
          <w:rFonts w:asciiTheme="minorHAnsi" w:hAnsiTheme="minorHAnsi" w:cstheme="minorHAnsi"/>
          <w:i/>
          <w:sz w:val="24"/>
          <w:szCs w:val="24"/>
        </w:rPr>
        <w:t>, po oživení ekonomiky po válce v roce 1969. Od té doby ušla dlouhou cestu, na které rozšířila svůj sortiment a snaží se pokrývat veškeré portfolio domácích elektronických pomocníků. Dnes je SENCOR řízen z Evropy, výroba probíhá v Asii i Evropě, ale stále s Japonskou přesností, důsledností a perfekcionismem. Dnešní designéři jsou špičkovými odborníky, kteří přinášejí do našich domovů moderní výrobky, jež nejsou jen šedo-černo-bílé, ale nebojí se barviček a radosti. Značka SENCOR se drží pravidla: Kvalita za odpovídající cenu – ani koruna navíc!</w:t>
      </w:r>
    </w:p>
    <w:p w14:paraId="22261680" w14:textId="77777777" w:rsidR="00E66D53" w:rsidRPr="00A95EAE" w:rsidRDefault="00E66D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A39DFAD" w14:textId="77777777" w:rsidR="00E66D53" w:rsidRPr="00A95EAE" w:rsidRDefault="00E66D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946CC03" w14:textId="77777777" w:rsidR="00E66D53" w:rsidRPr="00A95EAE" w:rsidRDefault="00450BD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A95EAE">
        <w:rPr>
          <w:rFonts w:asciiTheme="minorHAnsi" w:hAnsiTheme="minorHAnsi" w:cstheme="minorHAnsi"/>
          <w:b/>
          <w:sz w:val="24"/>
          <w:szCs w:val="24"/>
        </w:rPr>
        <w:br/>
      </w:r>
      <w:r w:rsidRPr="00A95EAE">
        <w:rPr>
          <w:rFonts w:asciiTheme="minorHAnsi" w:hAnsiTheme="minorHAnsi" w:cstheme="minorHAnsi"/>
          <w:sz w:val="24"/>
          <w:szCs w:val="24"/>
        </w:rPr>
        <w:t>Eva Kašparová - PHOENIX COMMUNICATION a.s.</w:t>
      </w:r>
    </w:p>
    <w:p w14:paraId="7C0D5299" w14:textId="77777777" w:rsidR="00E66D53" w:rsidRPr="00A95EAE" w:rsidRDefault="00F76A79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hyperlink r:id="rId10">
        <w:r w:rsidR="00450BDC" w:rsidRPr="00A95EAE">
          <w:rPr>
            <w:rStyle w:val="Interne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="00450BDC" w:rsidRPr="00A95EAE">
        <w:rPr>
          <w:rFonts w:asciiTheme="minorHAnsi" w:hAnsiTheme="minorHAnsi" w:cstheme="minorHAnsi"/>
          <w:sz w:val="24"/>
          <w:szCs w:val="24"/>
        </w:rPr>
        <w:t xml:space="preserve">, </w:t>
      </w:r>
      <w:r w:rsidR="00450BDC" w:rsidRPr="00A95EAE">
        <w:rPr>
          <w:rFonts w:asciiTheme="minorHAnsi" w:hAnsiTheme="minorHAnsi" w:cstheme="minorHAnsi"/>
          <w:i/>
          <w:sz w:val="24"/>
          <w:szCs w:val="24"/>
        </w:rPr>
        <w:t>(00420) 608 678 581</w:t>
      </w:r>
    </w:p>
    <w:p w14:paraId="2626AAAC" w14:textId="77777777" w:rsidR="00E66D53" w:rsidRPr="00A95EAE" w:rsidRDefault="00E66D5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6E6253" w14:textId="77777777" w:rsidR="00E66D53" w:rsidRPr="00A95EAE" w:rsidRDefault="00E66D5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9BEDBD4" w14:textId="77777777" w:rsidR="00E66D53" w:rsidRPr="00A95EAE" w:rsidRDefault="00450BD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E66D53" w:rsidRPr="00A95EAE">
      <w:head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3128" w14:textId="77777777" w:rsidR="00F76A79" w:rsidRDefault="00F76A79">
      <w:pPr>
        <w:spacing w:after="0" w:line="240" w:lineRule="auto"/>
      </w:pPr>
      <w:r>
        <w:separator/>
      </w:r>
    </w:p>
  </w:endnote>
  <w:endnote w:type="continuationSeparator" w:id="0">
    <w:p w14:paraId="1F80B37D" w14:textId="77777777" w:rsidR="00F76A79" w:rsidRDefault="00F7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9AE6" w14:textId="77777777" w:rsidR="00F76A79" w:rsidRDefault="00F76A79">
      <w:pPr>
        <w:spacing w:after="0" w:line="240" w:lineRule="auto"/>
      </w:pPr>
      <w:r>
        <w:separator/>
      </w:r>
    </w:p>
  </w:footnote>
  <w:footnote w:type="continuationSeparator" w:id="0">
    <w:p w14:paraId="7AF8EB1A" w14:textId="77777777" w:rsidR="00F76A79" w:rsidRDefault="00F7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67E1" w14:textId="77777777" w:rsidR="00E66D53" w:rsidRDefault="00450BDC">
    <w:pPr>
      <w:pStyle w:val="Zhlav"/>
    </w:pPr>
    <w:r>
      <w:rPr>
        <w:i/>
        <w:color w:val="808080"/>
      </w:rPr>
      <w:t xml:space="preserve">TISKOVÁ ZPRÁVA                                                             </w:t>
    </w:r>
    <w:r>
      <w:rPr>
        <w:noProof/>
        <w:lang w:eastAsia="cs-CZ"/>
      </w:rPr>
      <w:drawing>
        <wp:inline distT="0" distB="0" distL="0" distR="0" wp14:anchorId="6A90FAA8" wp14:editId="56ECEA1A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96"/>
    <w:multiLevelType w:val="hybridMultilevel"/>
    <w:tmpl w:val="D4BA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5BAD"/>
    <w:multiLevelType w:val="hybridMultilevel"/>
    <w:tmpl w:val="9FFE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1BE"/>
    <w:multiLevelType w:val="hybridMultilevel"/>
    <w:tmpl w:val="394E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129C8"/>
    <w:multiLevelType w:val="multilevel"/>
    <w:tmpl w:val="3BBC1C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A94396"/>
    <w:multiLevelType w:val="hybridMultilevel"/>
    <w:tmpl w:val="462A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F682A"/>
    <w:multiLevelType w:val="multilevel"/>
    <w:tmpl w:val="AF001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4060064">
    <w:abstractNumId w:val="3"/>
  </w:num>
  <w:num w:numId="2" w16cid:durableId="1558858980">
    <w:abstractNumId w:val="5"/>
  </w:num>
  <w:num w:numId="3" w16cid:durableId="1370492266">
    <w:abstractNumId w:val="1"/>
  </w:num>
  <w:num w:numId="4" w16cid:durableId="332991984">
    <w:abstractNumId w:val="0"/>
  </w:num>
  <w:num w:numId="5" w16cid:durableId="1881938675">
    <w:abstractNumId w:val="2"/>
  </w:num>
  <w:num w:numId="6" w16cid:durableId="819083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53"/>
    <w:rsid w:val="00073E7F"/>
    <w:rsid w:val="0007663C"/>
    <w:rsid w:val="00172D02"/>
    <w:rsid w:val="00285C17"/>
    <w:rsid w:val="002C4A1F"/>
    <w:rsid w:val="002D2998"/>
    <w:rsid w:val="003414F5"/>
    <w:rsid w:val="00371A90"/>
    <w:rsid w:val="003A65D0"/>
    <w:rsid w:val="004069D7"/>
    <w:rsid w:val="00450BDC"/>
    <w:rsid w:val="00470166"/>
    <w:rsid w:val="00474645"/>
    <w:rsid w:val="0047681E"/>
    <w:rsid w:val="004F72A0"/>
    <w:rsid w:val="00552F1A"/>
    <w:rsid w:val="005652D6"/>
    <w:rsid w:val="005B7ABA"/>
    <w:rsid w:val="00606919"/>
    <w:rsid w:val="006778C9"/>
    <w:rsid w:val="006827BE"/>
    <w:rsid w:val="006B075F"/>
    <w:rsid w:val="006B3E06"/>
    <w:rsid w:val="006C3382"/>
    <w:rsid w:val="007060FA"/>
    <w:rsid w:val="0073017C"/>
    <w:rsid w:val="00744216"/>
    <w:rsid w:val="00744361"/>
    <w:rsid w:val="00752054"/>
    <w:rsid w:val="00764787"/>
    <w:rsid w:val="008A0293"/>
    <w:rsid w:val="008B30BF"/>
    <w:rsid w:val="00920ADB"/>
    <w:rsid w:val="009465C6"/>
    <w:rsid w:val="00957D60"/>
    <w:rsid w:val="00A3091E"/>
    <w:rsid w:val="00A76F90"/>
    <w:rsid w:val="00A95EAE"/>
    <w:rsid w:val="00B057C3"/>
    <w:rsid w:val="00B62A03"/>
    <w:rsid w:val="00B96ECE"/>
    <w:rsid w:val="00BE6E13"/>
    <w:rsid w:val="00C14F28"/>
    <w:rsid w:val="00CF2330"/>
    <w:rsid w:val="00D0783C"/>
    <w:rsid w:val="00D26C95"/>
    <w:rsid w:val="00DB1901"/>
    <w:rsid w:val="00DB6FC6"/>
    <w:rsid w:val="00E023A3"/>
    <w:rsid w:val="00E40E36"/>
    <w:rsid w:val="00E66D53"/>
    <w:rsid w:val="00ED16CD"/>
    <w:rsid w:val="00F76A79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99D1"/>
  <w15:docId w15:val="{12206E75-9838-AD4C-B54E-339DE82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2969CF"/>
    <w:rPr>
      <w:rFonts w:ascii="Calibri" w:eastAsia="Calibri" w:hAnsi="Calibri" w:cs="Times New Roman"/>
    </w:rPr>
  </w:style>
  <w:style w:type="character" w:customStyle="1" w:styleId="Internetovodkaz">
    <w:name w:val="Internetový odkaz"/>
    <w:uiPriority w:val="99"/>
    <w:unhideWhenUsed/>
    <w:rsid w:val="002969CF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2969CF"/>
    <w:rPr>
      <w:rFonts w:ascii="Tahoma" w:eastAsia="Calibri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qFormat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D91C92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D91C92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031AF"/>
    <w:rPr>
      <w:rFonts w:asciiTheme="minorHAnsi" w:eastAsiaTheme="minorHAnsi" w:hAnsiTheme="minorHAnsi" w:cstheme="minorBidi"/>
      <w:lang w:eastAsia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031AF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296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91C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91C92"/>
    <w:rPr>
      <w:b/>
      <w:bCs/>
    </w:rPr>
  </w:style>
  <w:style w:type="paragraph" w:styleId="Bezmezer">
    <w:name w:val="No Spacing"/>
    <w:uiPriority w:val="1"/>
    <w:qFormat/>
    <w:rsid w:val="00A17F7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64C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1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table" w:styleId="Mkatabulky">
    <w:name w:val="Table Grid"/>
    <w:basedOn w:val="Normlntabulka"/>
    <w:uiPriority w:val="39"/>
    <w:rsid w:val="002031A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41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va@phoenixco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DD37A0CF99C46B9F60A93361429AE" ma:contentTypeVersion="15" ma:contentTypeDescription="Vytvoří nový dokument" ma:contentTypeScope="" ma:versionID="328970e8af837cb0487ac09c3bac8c71">
  <xsd:schema xmlns:xsd="http://www.w3.org/2001/XMLSchema" xmlns:xs="http://www.w3.org/2001/XMLSchema" xmlns:p="http://schemas.microsoft.com/office/2006/metadata/properties" xmlns:ns1="http://schemas.microsoft.com/sharepoint/v3" xmlns:ns3="e601e67f-cd1a-4b8b-9f60-5ced2776113d" xmlns:ns4="b5a6812f-107f-4274-8bb0-61d76c9d4d28" targetNamespace="http://schemas.microsoft.com/office/2006/metadata/properties" ma:root="true" ma:fieldsID="679d5af7c6bfbf51809c9e275da420e1" ns1:_="" ns3:_="" ns4:_="">
    <xsd:import namespace="http://schemas.microsoft.com/sharepoint/v3"/>
    <xsd:import namespace="e601e67f-cd1a-4b8b-9f60-5ced2776113d"/>
    <xsd:import namespace="b5a6812f-107f-4274-8bb0-61d76c9d4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e67f-cd1a-4b8b-9f60-5ced27761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812f-107f-4274-8bb0-61d76c9d4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28F16-0403-4461-BE1C-C32414CB6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1e67f-cd1a-4b8b-9f60-5ced2776113d"/>
    <ds:schemaRef ds:uri="b5a6812f-107f-4274-8bb0-61d76c9d4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2602-877A-4966-ABD3-ECB9C0266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dc:description/>
  <cp:lastModifiedBy>Eva Kašparová | PHOENIXCOM</cp:lastModifiedBy>
  <cp:revision>2</cp:revision>
  <cp:lastPrinted>2021-05-31T05:47:00Z</cp:lastPrinted>
  <dcterms:created xsi:type="dcterms:W3CDTF">2022-04-29T06:04:00Z</dcterms:created>
  <dcterms:modified xsi:type="dcterms:W3CDTF">2022-04-29T06:04:00Z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0x010100114DD37A0CF99C46B9F60A93361429AE</vt:lpwstr>
  </property>
</Properties>
</file>