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05E3" w14:textId="77777777" w:rsidR="00BD0C20" w:rsidRDefault="00BD0C20">
      <w:pPr>
        <w:jc w:val="center"/>
        <w:rPr>
          <w:rFonts w:ascii="Arial" w:hAnsi="Arial" w:cs="Arial"/>
          <w:b/>
          <w:bCs/>
          <w:szCs w:val="24"/>
          <w:lang w:val="cs"/>
        </w:rPr>
      </w:pPr>
    </w:p>
    <w:p w14:paraId="5D945EE6" w14:textId="0EBB7CBC" w:rsidR="003A063E" w:rsidRDefault="006E255F" w:rsidP="003A063E">
      <w:pPr>
        <w:jc w:val="center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/>
          <w:bCs/>
          <w:szCs w:val="24"/>
          <w:lang w:val="cs"/>
        </w:rPr>
        <w:br/>
      </w:r>
    </w:p>
    <w:p w14:paraId="3AC77A60" w14:textId="77777777" w:rsidR="001F4346" w:rsidRDefault="001F4346" w:rsidP="001F4346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  <w:r w:rsidRPr="001F4346">
        <w:rPr>
          <w:rFonts w:ascii="Arial" w:hAnsi="Arial" w:cs="Arial"/>
          <w:b/>
          <w:sz w:val="26"/>
          <w:szCs w:val="26"/>
          <w:lang w:val="cs-CZ"/>
        </w:rPr>
        <w:t xml:space="preserve">Klimatizace umí uspořit až 70 % nákladů </w:t>
      </w:r>
    </w:p>
    <w:p w14:paraId="5DD0B818" w14:textId="1C85241F" w:rsidR="001F4346" w:rsidRPr="003A063E" w:rsidRDefault="001F4346" w:rsidP="001F4346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  <w:r w:rsidRPr="001F4346">
        <w:rPr>
          <w:rFonts w:ascii="Arial" w:hAnsi="Arial" w:cs="Arial"/>
          <w:b/>
          <w:sz w:val="26"/>
          <w:szCs w:val="26"/>
          <w:lang w:val="cs-CZ"/>
        </w:rPr>
        <w:t>ve srovnání s jinými zdroji vytápění!</w:t>
      </w: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08AB9A30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Křižíkova 148/34</w:t>
      </w:r>
    </w:p>
    <w:p w14:paraId="3A46C9BA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186 00 Praha 8, Česká rep.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0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1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3A063E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530B61BF" w14:textId="71FE2BBE" w:rsidR="001F4346" w:rsidRPr="001F4346" w:rsidRDefault="006E255F" w:rsidP="001F4346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C64B78">
        <w:rPr>
          <w:rFonts w:ascii="Arial" w:hAnsi="Arial" w:cs="Arial"/>
          <w:sz w:val="20"/>
          <w:lang w:val="cs-CZ"/>
        </w:rPr>
        <w:t>Praha,</w:t>
      </w:r>
      <w:r w:rsidR="00216C72" w:rsidRPr="00C64B78">
        <w:rPr>
          <w:rFonts w:ascii="Arial" w:hAnsi="Arial" w:cs="Arial"/>
          <w:sz w:val="20"/>
          <w:lang w:val="cs-CZ"/>
        </w:rPr>
        <w:t xml:space="preserve"> </w:t>
      </w:r>
      <w:r w:rsidR="00C64B78" w:rsidRPr="00C64B78">
        <w:rPr>
          <w:rFonts w:ascii="Arial" w:hAnsi="Arial" w:cs="Arial"/>
          <w:sz w:val="20"/>
          <w:lang w:val="cs-CZ"/>
        </w:rPr>
        <w:t>9. listopadu</w:t>
      </w:r>
      <w:r w:rsidRPr="00C64B78">
        <w:rPr>
          <w:rFonts w:ascii="Arial" w:hAnsi="Arial" w:cs="Arial"/>
          <w:sz w:val="20"/>
          <w:lang w:val="cs-CZ"/>
        </w:rPr>
        <w:t xml:space="preserve"> 2023 –</w:t>
      </w:r>
      <w:r w:rsidR="008B41E7" w:rsidRPr="00C64B78">
        <w:rPr>
          <w:rFonts w:ascii="Arial" w:hAnsi="Arial" w:cs="Arial"/>
          <w:sz w:val="20"/>
          <w:lang w:val="cs-CZ"/>
        </w:rPr>
        <w:t xml:space="preserve"> </w:t>
      </w:r>
      <w:r w:rsidR="001F4346" w:rsidRPr="00C64B78">
        <w:rPr>
          <w:rFonts w:ascii="Arial" w:hAnsi="Arial" w:cs="Arial"/>
          <w:b/>
          <w:sz w:val="20"/>
          <w:lang w:val="cs-CZ"/>
        </w:rPr>
        <w:t>Klimatizaci má řada lidí spojenou zejména s funkcí ochlazování v letních měsících, ale kvalitní klimatizace umí i topit. A výhodně. Některé klimatizace se dokonce specializují na funkci topení a ve srovnání s jinými zdroji vytápění vám mohou uspořit až 70 % nákladů!</w:t>
      </w:r>
    </w:p>
    <w:p w14:paraId="3E4C1E68" w14:textId="77777777" w:rsidR="001F4346" w:rsidRPr="001F4346" w:rsidRDefault="001F4346" w:rsidP="001F4346">
      <w:pPr>
        <w:spacing w:line="360" w:lineRule="auto"/>
        <w:rPr>
          <w:rFonts w:ascii="Arial" w:hAnsi="Arial" w:cs="Arial"/>
          <w:sz w:val="20"/>
          <w:highlight w:val="yellow"/>
          <w:lang w:val="cs-CZ"/>
        </w:rPr>
      </w:pPr>
    </w:p>
    <w:p w14:paraId="19A5EC62" w14:textId="6E3BC3E6" w:rsidR="001F4346" w:rsidRPr="001F4346" w:rsidRDefault="001F4346" w:rsidP="001F4346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F4346">
        <w:rPr>
          <w:rFonts w:ascii="Arial" w:hAnsi="Arial" w:cs="Arial"/>
          <w:bCs/>
          <w:i/>
          <w:iCs/>
          <w:sz w:val="20"/>
          <w:lang w:val="cs-CZ"/>
        </w:rPr>
        <w:t>„Stacionární klimatizace jsou vlastně tepelná čerpadla typu vzduch</w:t>
      </w:r>
      <w:r w:rsidR="00B767C7">
        <w:rPr>
          <w:rFonts w:ascii="Arial" w:hAnsi="Arial" w:cs="Arial"/>
          <w:bCs/>
          <w:i/>
          <w:iCs/>
          <w:sz w:val="20"/>
          <w:lang w:val="cs-CZ"/>
        </w:rPr>
        <w:t>-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vzduch. Jednoduše řečeno – neum</w:t>
      </w:r>
      <w:r w:rsidR="00B767C7">
        <w:rPr>
          <w:rFonts w:ascii="Arial" w:hAnsi="Arial" w:cs="Arial"/>
          <w:bCs/>
          <w:i/>
          <w:iCs/>
          <w:sz w:val="20"/>
          <w:lang w:val="cs-CZ"/>
        </w:rPr>
        <w:t>ěj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í jen chladit, ale i topit.</w:t>
      </w:r>
      <w:r>
        <w:rPr>
          <w:rFonts w:ascii="Arial" w:hAnsi="Arial" w:cs="Arial"/>
          <w:bCs/>
          <w:i/>
          <w:iCs/>
          <w:sz w:val="20"/>
          <w:lang w:val="cs-CZ"/>
        </w:rPr>
        <w:t xml:space="preserve"> Účinně, ale i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 xml:space="preserve">maximálně pohodlně. </w:t>
      </w:r>
      <w:r>
        <w:rPr>
          <w:rFonts w:ascii="Arial" w:hAnsi="Arial" w:cs="Arial"/>
          <w:bCs/>
          <w:i/>
          <w:iCs/>
          <w:sz w:val="20"/>
          <w:lang w:val="cs-CZ"/>
        </w:rPr>
        <w:t xml:space="preserve">Kvalitní klimatizace je možné ovládat na dálku a například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pomocí chytrého telefonu spustit klimatizaci s nastavením topení dříve, než přijedete domů nebo na chalupu,“</w:t>
      </w:r>
      <w:r w:rsidRPr="001F4346">
        <w:rPr>
          <w:rFonts w:ascii="Arial" w:hAnsi="Arial" w:cs="Arial"/>
          <w:bCs/>
          <w:sz w:val="20"/>
          <w:lang w:val="cs-CZ"/>
        </w:rPr>
        <w:t xml:space="preserve"> říká </w:t>
      </w:r>
      <w:r w:rsidRPr="001F4346">
        <w:rPr>
          <w:rFonts w:ascii="Arial" w:hAnsi="Arial" w:cs="Arial"/>
          <w:b/>
          <w:sz w:val="20"/>
          <w:lang w:val="cs-CZ"/>
        </w:rPr>
        <w:t xml:space="preserve">Radek Vanduch, hlavní technik společnosti Panasonic </w:t>
      </w:r>
      <w:proofErr w:type="spellStart"/>
      <w:r w:rsidRPr="001F4346">
        <w:rPr>
          <w:rFonts w:ascii="Arial" w:hAnsi="Arial" w:cs="Arial"/>
          <w:b/>
          <w:sz w:val="20"/>
          <w:lang w:val="cs-CZ"/>
        </w:rPr>
        <w:t>Heating</w:t>
      </w:r>
      <w:proofErr w:type="spellEnd"/>
      <w:r w:rsidRPr="001F4346">
        <w:rPr>
          <w:rFonts w:ascii="Arial" w:hAnsi="Arial" w:cs="Arial"/>
          <w:b/>
          <w:sz w:val="20"/>
          <w:lang w:val="cs-CZ"/>
        </w:rPr>
        <w:t xml:space="preserve"> &amp; </w:t>
      </w:r>
      <w:proofErr w:type="spellStart"/>
      <w:r w:rsidRPr="001F4346">
        <w:rPr>
          <w:rFonts w:ascii="Arial" w:hAnsi="Arial" w:cs="Arial"/>
          <w:b/>
          <w:sz w:val="20"/>
          <w:lang w:val="cs-CZ"/>
        </w:rPr>
        <w:t>Cooling</w:t>
      </w:r>
      <w:proofErr w:type="spellEnd"/>
      <w:r w:rsidRPr="001F4346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Pr="001F4346">
        <w:rPr>
          <w:rFonts w:ascii="Arial" w:hAnsi="Arial" w:cs="Arial"/>
          <w:b/>
          <w:sz w:val="20"/>
          <w:lang w:val="cs-CZ"/>
        </w:rPr>
        <w:t>Solutions</w:t>
      </w:r>
      <w:proofErr w:type="spellEnd"/>
      <w:r w:rsidRPr="001F4346">
        <w:rPr>
          <w:rFonts w:ascii="Arial" w:hAnsi="Arial" w:cs="Arial"/>
          <w:b/>
          <w:sz w:val="20"/>
          <w:lang w:val="cs-CZ"/>
        </w:rPr>
        <w:t>.</w:t>
      </w:r>
    </w:p>
    <w:p w14:paraId="2B9FFDA4" w14:textId="77777777" w:rsidR="001F4346" w:rsidRP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D6A3842" w14:textId="77777777" w:rsidR="001F4346" w:rsidRDefault="001F4346" w:rsidP="001F4346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F4346">
        <w:rPr>
          <w:rFonts w:ascii="Arial" w:hAnsi="Arial" w:cs="Arial"/>
          <w:b/>
          <w:sz w:val="20"/>
          <w:lang w:val="cs-CZ"/>
        </w:rPr>
        <w:t>Na jakém principu fungují?</w:t>
      </w:r>
    </w:p>
    <w:p w14:paraId="3EFCE87C" w14:textId="1D77A515" w:rsid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F4346">
        <w:rPr>
          <w:rFonts w:ascii="Arial" w:hAnsi="Arial" w:cs="Arial"/>
          <w:bCs/>
          <w:sz w:val="20"/>
          <w:lang w:val="cs-CZ"/>
        </w:rPr>
        <w:t xml:space="preserve">Schopnost chladit </w:t>
      </w:r>
      <w:r>
        <w:rPr>
          <w:rFonts w:ascii="Arial" w:hAnsi="Arial" w:cs="Arial"/>
          <w:bCs/>
          <w:sz w:val="20"/>
          <w:lang w:val="cs-CZ"/>
        </w:rPr>
        <w:t>i</w:t>
      </w:r>
      <w:r w:rsidRPr="001F4346">
        <w:rPr>
          <w:rFonts w:ascii="Arial" w:hAnsi="Arial" w:cs="Arial"/>
          <w:bCs/>
          <w:sz w:val="20"/>
          <w:lang w:val="cs-CZ"/>
        </w:rPr>
        <w:t xml:space="preserve"> topit je u klimatizací postavena na přepínání ventilů. V létě klimatizace uvnitř chladí a venku topí. Pokud potřebujete získat v místnosti teplo, obrátí přepínací ventil směr a topí uvnitř a ochlazuje venku. Chladivo ve vnější jednotce má nižší teplotu než okolní vzduch, a proto může tuto energii absorbovat.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 xml:space="preserve">„Množství takto absorbovaného tepla je transportováno systémem tepelného čerpadla do vnitřní jednotky, která tak vyfukuje teplý vzduch </w:t>
      </w:r>
      <w:r>
        <w:rPr>
          <w:rFonts w:ascii="Arial" w:hAnsi="Arial" w:cs="Arial"/>
          <w:bCs/>
          <w:i/>
          <w:iCs/>
          <w:sz w:val="20"/>
          <w:lang w:val="cs-CZ"/>
        </w:rPr>
        <w:t xml:space="preserve">a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 xml:space="preserve">ohřívá místnost,“ </w:t>
      </w:r>
      <w:r w:rsidRPr="001F4346">
        <w:rPr>
          <w:rFonts w:ascii="Arial" w:hAnsi="Arial" w:cs="Arial"/>
          <w:bCs/>
          <w:sz w:val="20"/>
          <w:lang w:val="cs-CZ"/>
        </w:rPr>
        <w:t>vysvětluje</w:t>
      </w:r>
      <w:r>
        <w:rPr>
          <w:rFonts w:ascii="Arial" w:hAnsi="Arial" w:cs="Arial"/>
          <w:bCs/>
          <w:sz w:val="20"/>
          <w:lang w:val="cs-CZ"/>
        </w:rPr>
        <w:t xml:space="preserve"> Radek</w:t>
      </w:r>
      <w:r w:rsidRPr="001F4346">
        <w:rPr>
          <w:rFonts w:ascii="Arial" w:hAnsi="Arial" w:cs="Arial"/>
          <w:bCs/>
          <w:sz w:val="20"/>
          <w:lang w:val="cs-CZ"/>
        </w:rPr>
        <w:t xml:space="preserve"> Vanduch.</w:t>
      </w:r>
    </w:p>
    <w:p w14:paraId="65903338" w14:textId="77777777" w:rsidR="001F4346" w:rsidRP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76FB2D8" w14:textId="6C160EDC" w:rsidR="001F4346" w:rsidRPr="001F4346" w:rsidRDefault="001F4346" w:rsidP="001F4346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F4346">
        <w:rPr>
          <w:rFonts w:ascii="Arial" w:hAnsi="Arial" w:cs="Arial"/>
          <w:b/>
          <w:sz w:val="20"/>
          <w:lang w:val="cs-CZ"/>
        </w:rPr>
        <w:t>Při výběru sledujte SEER a SCOP</w:t>
      </w:r>
    </w:p>
    <w:p w14:paraId="632CBB1E" w14:textId="05D7373C" w:rsid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F4346">
        <w:rPr>
          <w:rFonts w:ascii="Arial" w:hAnsi="Arial" w:cs="Arial"/>
          <w:bCs/>
          <w:sz w:val="20"/>
          <w:lang w:val="cs-CZ"/>
        </w:rPr>
        <w:t xml:space="preserve">Při </w:t>
      </w:r>
      <w:r>
        <w:rPr>
          <w:rFonts w:ascii="Arial" w:hAnsi="Arial" w:cs="Arial"/>
          <w:bCs/>
          <w:sz w:val="20"/>
          <w:lang w:val="cs-CZ"/>
        </w:rPr>
        <w:t xml:space="preserve">pořizování </w:t>
      </w:r>
      <w:r w:rsidRPr="001F4346">
        <w:rPr>
          <w:rFonts w:ascii="Arial" w:hAnsi="Arial" w:cs="Arial"/>
          <w:bCs/>
          <w:sz w:val="20"/>
          <w:lang w:val="cs-CZ"/>
        </w:rPr>
        <w:t>klimatizace s funkcí vytápění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1F4346">
        <w:rPr>
          <w:rFonts w:ascii="Arial" w:hAnsi="Arial" w:cs="Arial"/>
          <w:bCs/>
          <w:sz w:val="20"/>
          <w:lang w:val="cs-CZ"/>
        </w:rPr>
        <w:t xml:space="preserve">byste měli sledovat hodnoty SEER a SCOP. Hodnota SEER je ukazatelem energetické účinnosti pro celou </w:t>
      </w:r>
      <w:r w:rsidR="00B767C7" w:rsidRPr="001F4346">
        <w:rPr>
          <w:rFonts w:ascii="Arial" w:hAnsi="Arial" w:cs="Arial"/>
          <w:bCs/>
          <w:sz w:val="20"/>
          <w:lang w:val="cs-CZ"/>
        </w:rPr>
        <w:t>chlad</w:t>
      </w:r>
      <w:r w:rsidR="00B767C7">
        <w:rPr>
          <w:rFonts w:ascii="Arial" w:hAnsi="Arial" w:cs="Arial"/>
          <w:bCs/>
          <w:sz w:val="20"/>
          <w:lang w:val="cs-CZ"/>
        </w:rPr>
        <w:t>i</w:t>
      </w:r>
      <w:r w:rsidR="00B767C7" w:rsidRPr="001F4346">
        <w:rPr>
          <w:rFonts w:ascii="Arial" w:hAnsi="Arial" w:cs="Arial"/>
          <w:bCs/>
          <w:sz w:val="20"/>
          <w:lang w:val="cs-CZ"/>
        </w:rPr>
        <w:t xml:space="preserve">cí </w:t>
      </w:r>
      <w:r w:rsidRPr="001F4346">
        <w:rPr>
          <w:rFonts w:ascii="Arial" w:hAnsi="Arial" w:cs="Arial"/>
          <w:bCs/>
          <w:sz w:val="20"/>
          <w:lang w:val="cs-CZ"/>
        </w:rPr>
        <w:t>sezónu a hodnota SCOP ukazuje energetickou účinnost zařízení pro celou topnou sezónu. Tyto hodnoty vám prozradí, kolik jednotek užitečného chladicího nebo topného výkonu klimatizace v průměru dodává z jedné jednotky elektrické energie za jednu sezónu.</w:t>
      </w:r>
    </w:p>
    <w:p w14:paraId="658F1B15" w14:textId="77777777" w:rsidR="001F4346" w:rsidRP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C61A11A" w14:textId="2A66FA2C" w:rsid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F4346">
        <w:rPr>
          <w:rFonts w:ascii="Arial" w:hAnsi="Arial" w:cs="Arial"/>
          <w:bCs/>
          <w:sz w:val="20"/>
          <w:lang w:val="cs-CZ"/>
        </w:rPr>
        <w:t xml:space="preserve">Pro zimní provoz </w:t>
      </w:r>
      <w:r w:rsidRPr="00CF0962">
        <w:rPr>
          <w:rFonts w:ascii="Arial" w:hAnsi="Arial" w:cs="Arial"/>
          <w:bCs/>
          <w:sz w:val="20"/>
          <w:lang w:val="cs-CZ"/>
        </w:rPr>
        <w:t>počítejte s tím, že při teplotách kolem 0 °C je velmi</w:t>
      </w:r>
      <w:r w:rsidRPr="001F4346">
        <w:rPr>
          <w:rFonts w:ascii="Arial" w:hAnsi="Arial" w:cs="Arial"/>
          <w:bCs/>
          <w:sz w:val="20"/>
          <w:lang w:val="cs-CZ"/>
        </w:rPr>
        <w:t xml:space="preserve"> vysoká vlhkost vzduchu, takže venkovní jednotka může snadno namrzat.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„V takovém případě se zařízení občas zastaví kvůli odmrazování. Odmrazování však probíhá velmi rychle a po jeho dokončení bude klimatizace znovu topit,“</w:t>
      </w:r>
      <w:r w:rsidRPr="001F4346">
        <w:rPr>
          <w:rFonts w:ascii="Arial" w:hAnsi="Arial" w:cs="Arial"/>
          <w:bCs/>
          <w:sz w:val="20"/>
          <w:lang w:val="cs-CZ"/>
        </w:rPr>
        <w:t xml:space="preserve"> říká Radek Vanduch.</w:t>
      </w:r>
    </w:p>
    <w:p w14:paraId="3A6A130E" w14:textId="77777777" w:rsid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13D3B15" w14:textId="070706CA" w:rsidR="001F4346" w:rsidRPr="001F4346" w:rsidRDefault="001F4346" w:rsidP="001F4346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F4346">
        <w:rPr>
          <w:rFonts w:ascii="Arial" w:hAnsi="Arial" w:cs="Arial"/>
          <w:b/>
          <w:sz w:val="20"/>
          <w:lang w:val="cs-CZ"/>
        </w:rPr>
        <w:t>Úspornost provozu při vytápění</w:t>
      </w:r>
    </w:p>
    <w:p w14:paraId="55108518" w14:textId="2C6EA2D5" w:rsid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F4346">
        <w:rPr>
          <w:rFonts w:ascii="Arial" w:hAnsi="Arial" w:cs="Arial"/>
          <w:bCs/>
          <w:sz w:val="20"/>
          <w:lang w:val="cs-CZ"/>
        </w:rPr>
        <w:t>Jak již bylo zmíněno – stacionární klimatizace jsou tepelnými čerpadly typu vzduch</w:t>
      </w:r>
      <w:r w:rsidR="00B767C7">
        <w:rPr>
          <w:rFonts w:ascii="Arial" w:hAnsi="Arial" w:cs="Arial"/>
          <w:bCs/>
          <w:sz w:val="20"/>
          <w:lang w:val="cs-CZ"/>
        </w:rPr>
        <w:t>-</w:t>
      </w:r>
      <w:r w:rsidRPr="001F4346">
        <w:rPr>
          <w:rFonts w:ascii="Arial" w:hAnsi="Arial" w:cs="Arial"/>
          <w:bCs/>
          <w:sz w:val="20"/>
          <w:lang w:val="cs-CZ"/>
        </w:rPr>
        <w:t>vzduch a přinášejí uživatelům řadu výhod.</w:t>
      </w:r>
    </w:p>
    <w:p w14:paraId="456F9FB4" w14:textId="77777777" w:rsidR="001F4346" w:rsidRP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A917149" w14:textId="77777777" w:rsidR="001F4346" w:rsidRDefault="001F4346" w:rsidP="001F4346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</w:p>
    <w:p w14:paraId="1218471D" w14:textId="77777777" w:rsidR="001F4346" w:rsidRDefault="001F4346" w:rsidP="001F4346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</w:p>
    <w:p w14:paraId="10C9938D" w14:textId="77777777" w:rsidR="001F4346" w:rsidRDefault="001F4346" w:rsidP="001F4346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</w:p>
    <w:p w14:paraId="75CEDC48" w14:textId="510FCF6B" w:rsidR="001F4346" w:rsidRDefault="001F4346" w:rsidP="001F4346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  <w:r w:rsidRPr="001F4346">
        <w:rPr>
          <w:rFonts w:ascii="Arial" w:hAnsi="Arial" w:cs="Arial"/>
          <w:bCs/>
          <w:i/>
          <w:iCs/>
          <w:sz w:val="20"/>
          <w:lang w:val="cs-CZ"/>
        </w:rPr>
        <w:t>„Klimatizace značky Panasonic kromě rychlé instalace nabíz</w:t>
      </w:r>
      <w:r w:rsidR="00B767C7">
        <w:rPr>
          <w:rFonts w:ascii="Arial" w:hAnsi="Arial" w:cs="Arial"/>
          <w:bCs/>
          <w:i/>
          <w:iCs/>
          <w:sz w:val="20"/>
          <w:lang w:val="cs-CZ"/>
        </w:rPr>
        <w:t>ej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í i schopnost odvlhčovat a čistit vzduch. A</w:t>
      </w:r>
      <w:r w:rsidR="00CF0962">
        <w:rPr>
          <w:rFonts w:ascii="Arial" w:hAnsi="Arial" w:cs="Arial"/>
          <w:bCs/>
          <w:i/>
          <w:iCs/>
          <w:sz w:val="20"/>
          <w:lang w:val="cs-CZ"/>
        </w:rPr>
        <w:t>le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>
        <w:rPr>
          <w:rFonts w:ascii="Arial" w:hAnsi="Arial" w:cs="Arial"/>
          <w:bCs/>
          <w:i/>
          <w:iCs/>
          <w:sz w:val="20"/>
          <w:lang w:val="cs-CZ"/>
        </w:rPr>
        <w:t xml:space="preserve">především jsou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účinné. Oproti přímotopu s nimi topí</w:t>
      </w:r>
      <w:r>
        <w:rPr>
          <w:rFonts w:ascii="Arial" w:hAnsi="Arial" w:cs="Arial"/>
          <w:bCs/>
          <w:i/>
          <w:iCs/>
          <w:sz w:val="20"/>
          <w:lang w:val="cs-CZ"/>
        </w:rPr>
        <w:t>t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 xml:space="preserve">e přibližně </w:t>
      </w:r>
      <w:r w:rsidR="00B767C7">
        <w:rPr>
          <w:rFonts w:ascii="Arial" w:hAnsi="Arial" w:cs="Arial"/>
          <w:bCs/>
          <w:i/>
          <w:iCs/>
          <w:sz w:val="20"/>
          <w:lang w:val="cs-CZ"/>
        </w:rPr>
        <w:t>třikrát</w:t>
      </w:r>
      <w:r w:rsidR="00B767C7" w:rsidRPr="001F4346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 xml:space="preserve">až </w:t>
      </w:r>
      <w:r w:rsidR="00B767C7">
        <w:rPr>
          <w:rFonts w:ascii="Arial" w:hAnsi="Arial" w:cs="Arial"/>
          <w:bCs/>
          <w:i/>
          <w:iCs/>
          <w:sz w:val="20"/>
          <w:lang w:val="cs-CZ"/>
        </w:rPr>
        <w:t>pět</w:t>
      </w:r>
      <w:r w:rsidR="00B767C7" w:rsidRPr="001F4346">
        <w:rPr>
          <w:rFonts w:ascii="Arial" w:hAnsi="Arial" w:cs="Arial"/>
          <w:bCs/>
          <w:i/>
          <w:iCs/>
          <w:sz w:val="20"/>
          <w:lang w:val="cs-CZ"/>
        </w:rPr>
        <w:t xml:space="preserve">krát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levněji. Takže pokud byste za vytápění elektřinou utratili ročně například 60 000 korun, stálo by vás vytápění klimatizací na principu tepelného čerpadla ročně 15 000 korun,</w:t>
      </w:r>
      <w:r w:rsidR="00B767C7">
        <w:rPr>
          <w:rFonts w:ascii="Arial" w:hAnsi="Arial" w:cs="Arial"/>
          <w:bCs/>
          <w:i/>
          <w:iCs/>
          <w:sz w:val="20"/>
          <w:lang w:val="cs-CZ"/>
        </w:rPr>
        <w:t>“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1F4346">
        <w:rPr>
          <w:rFonts w:ascii="Arial" w:hAnsi="Arial" w:cs="Arial"/>
          <w:bCs/>
          <w:sz w:val="20"/>
          <w:lang w:val="cs-CZ"/>
        </w:rPr>
        <w:t xml:space="preserve">prozrazuje Radek Vanduch a doplňuje: </w:t>
      </w:r>
      <w:r w:rsidRPr="001F4346">
        <w:rPr>
          <w:rFonts w:ascii="Arial" w:hAnsi="Arial" w:cs="Arial"/>
          <w:bCs/>
          <w:i/>
          <w:iCs/>
          <w:sz w:val="20"/>
          <w:lang w:val="cs-CZ"/>
        </w:rPr>
        <w:t>„Obecně vzato, ve srovnání s jinými zdroji vytápění můžete s našimi klimatizacemi uspořit až 70 % nákladů na vytápění.“</w:t>
      </w:r>
    </w:p>
    <w:p w14:paraId="06720FC8" w14:textId="77777777" w:rsidR="001F4346" w:rsidRPr="001F4346" w:rsidRDefault="001F4346" w:rsidP="001F4346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</w:p>
    <w:p w14:paraId="1BE5ABF2" w14:textId="77777777" w:rsidR="001F4346" w:rsidRPr="001F4346" w:rsidRDefault="001F4346" w:rsidP="001F4346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F4346">
        <w:rPr>
          <w:rFonts w:ascii="Arial" w:hAnsi="Arial" w:cs="Arial"/>
          <w:b/>
          <w:sz w:val="20"/>
          <w:lang w:val="cs-CZ"/>
        </w:rPr>
        <w:t>Doporučené klimatizace Panasonic s funkcí vytápění</w:t>
      </w:r>
    </w:p>
    <w:p w14:paraId="55022B12" w14:textId="66951D5A" w:rsidR="001F4346" w:rsidRDefault="00B767C7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Příkladem</w:t>
      </w:r>
      <w:r w:rsidR="001F4346" w:rsidRPr="001F4346">
        <w:rPr>
          <w:rFonts w:ascii="Arial" w:hAnsi="Arial" w:cs="Arial"/>
          <w:bCs/>
          <w:sz w:val="20"/>
          <w:lang w:val="cs-CZ"/>
        </w:rPr>
        <w:t xml:space="preserve"> zajímavé klimatizace, která byla vyvinuta s důrazem na funkci vytápění, je Panasonic VZ </w:t>
      </w:r>
      <w:proofErr w:type="spellStart"/>
      <w:r w:rsidR="001F4346" w:rsidRPr="001F4346">
        <w:rPr>
          <w:rFonts w:ascii="Arial" w:hAnsi="Arial" w:cs="Arial"/>
          <w:bCs/>
          <w:sz w:val="20"/>
          <w:lang w:val="cs-CZ"/>
        </w:rPr>
        <w:t>Heatcharge</w:t>
      </w:r>
      <w:proofErr w:type="spellEnd"/>
      <w:r w:rsidR="001F4346" w:rsidRPr="001F4346">
        <w:rPr>
          <w:rFonts w:ascii="Arial" w:hAnsi="Arial" w:cs="Arial"/>
          <w:bCs/>
          <w:sz w:val="20"/>
          <w:lang w:val="cs-CZ"/>
        </w:rPr>
        <w:t xml:space="preserve">. </w:t>
      </w:r>
      <w:r w:rsidR="001F4346">
        <w:rPr>
          <w:rFonts w:ascii="Arial" w:hAnsi="Arial" w:cs="Arial"/>
          <w:bCs/>
          <w:sz w:val="20"/>
          <w:lang w:val="cs-CZ"/>
        </w:rPr>
        <w:t xml:space="preserve">Toto zařízení je určeno </w:t>
      </w:r>
      <w:r w:rsidR="001F4346" w:rsidRPr="001F4346">
        <w:rPr>
          <w:rFonts w:ascii="Arial" w:hAnsi="Arial" w:cs="Arial"/>
          <w:bCs/>
          <w:sz w:val="20"/>
          <w:lang w:val="cs-CZ"/>
        </w:rPr>
        <w:t xml:space="preserve">do rezidenčních i komerčních prostor, které kladou extrémně vysoké nároky na topný systém. Panasonic u této klimatizace využívá akumulované odpadní teplo, takže i v případě odmrazování toto teplo neustále ohřívá místnost. </w:t>
      </w:r>
    </w:p>
    <w:p w14:paraId="1D430B83" w14:textId="77777777" w:rsidR="001F4346" w:rsidRP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F9BC3F1" w14:textId="0193EB9A" w:rsidR="001F4346" w:rsidRDefault="001F4346" w:rsidP="001F4346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Dalším příkladem j</w:t>
      </w:r>
      <w:r w:rsidRPr="001F4346">
        <w:rPr>
          <w:rFonts w:ascii="Arial" w:hAnsi="Arial" w:cs="Arial"/>
          <w:bCs/>
          <w:sz w:val="20"/>
          <w:lang w:val="cs-CZ"/>
        </w:rPr>
        <w:t xml:space="preserve">e nástěnná klimatizace </w:t>
      </w:r>
      <w:r>
        <w:rPr>
          <w:rFonts w:ascii="Arial" w:hAnsi="Arial" w:cs="Arial"/>
          <w:bCs/>
          <w:sz w:val="20"/>
          <w:lang w:val="cs-CZ"/>
        </w:rPr>
        <w:t>Panasonic</w:t>
      </w:r>
      <w:r w:rsidRPr="001F4346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Pr="001F4346">
        <w:rPr>
          <w:rFonts w:ascii="Arial" w:hAnsi="Arial" w:cs="Arial"/>
          <w:bCs/>
          <w:sz w:val="20"/>
          <w:lang w:val="cs-CZ"/>
        </w:rPr>
        <w:t>Etherea</w:t>
      </w:r>
      <w:proofErr w:type="spellEnd"/>
      <w:r w:rsidRPr="001F4346">
        <w:rPr>
          <w:rFonts w:ascii="Arial" w:hAnsi="Arial" w:cs="Arial"/>
          <w:bCs/>
          <w:sz w:val="20"/>
          <w:lang w:val="cs-CZ"/>
        </w:rPr>
        <w:t xml:space="preserve">, která je schopna energeticky účinného vytápění až do venkovní teploty </w:t>
      </w:r>
      <w:r w:rsidR="00B767C7">
        <w:rPr>
          <w:rFonts w:ascii="Arial" w:hAnsi="Arial" w:cs="Arial"/>
          <w:bCs/>
          <w:sz w:val="20"/>
          <w:lang w:val="cs-CZ"/>
        </w:rPr>
        <w:t>–</w:t>
      </w:r>
      <w:r w:rsidRPr="001F4346">
        <w:rPr>
          <w:rFonts w:ascii="Arial" w:hAnsi="Arial" w:cs="Arial"/>
          <w:bCs/>
          <w:sz w:val="20"/>
          <w:lang w:val="cs-CZ"/>
        </w:rPr>
        <w:t xml:space="preserve">20 °C. Jednou z výhod modelu je funkce </w:t>
      </w:r>
      <w:proofErr w:type="spellStart"/>
      <w:r w:rsidRPr="001F4346">
        <w:rPr>
          <w:rFonts w:ascii="Arial" w:hAnsi="Arial" w:cs="Arial"/>
          <w:bCs/>
          <w:sz w:val="20"/>
          <w:lang w:val="cs-CZ"/>
        </w:rPr>
        <w:t>Aerowings</w:t>
      </w:r>
      <w:proofErr w:type="spellEnd"/>
      <w:r w:rsidRPr="001F4346">
        <w:rPr>
          <w:rFonts w:ascii="Arial" w:hAnsi="Arial" w:cs="Arial"/>
          <w:bCs/>
          <w:sz w:val="20"/>
          <w:lang w:val="cs-CZ"/>
        </w:rPr>
        <w:t xml:space="preserve"> 2.0, která zajišťuje koncentrované proudění vzduchu směrem dolů, takže je dosaženo efektu podobného podlahovému vytápění: teplý vzduch stoupá nahoru a naplňuje místnost, čímž zajišťuje příjemný pocit tepla.</w:t>
      </w:r>
    </w:p>
    <w:p w14:paraId="50ACC327" w14:textId="77777777" w:rsidR="001F4346" w:rsidRPr="001C3868" w:rsidRDefault="001F4346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CB335FE" w14:textId="5F88814C" w:rsidR="003A063E" w:rsidRDefault="001C3868" w:rsidP="003A063E">
      <w:pPr>
        <w:spacing w:line="360" w:lineRule="auto"/>
        <w:jc w:val="both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 xml:space="preserve">Pro více informací o produktech a službách Panasonic </w:t>
      </w:r>
      <w:r>
        <w:rPr>
          <w:rFonts w:ascii="Arial" w:hAnsi="Arial" w:cs="Arial"/>
          <w:bCs/>
          <w:sz w:val="20"/>
          <w:lang w:val="cs-CZ"/>
        </w:rPr>
        <w:t xml:space="preserve">navštivte </w:t>
      </w:r>
      <w:hyperlink r:id="rId12" w:history="1">
        <w:r w:rsidR="001F4346" w:rsidRPr="00A73355">
          <w:rPr>
            <w:rStyle w:val="Hyperlink"/>
            <w:rFonts w:ascii="Arial" w:hAnsi="Arial" w:cs="Arial"/>
            <w:bCs/>
            <w:sz w:val="20"/>
            <w:lang w:val="cs-CZ"/>
          </w:rPr>
          <w:t>www.aircon.panasonic.cz</w:t>
        </w:r>
      </w:hyperlink>
      <w:r w:rsidR="003A063E" w:rsidRPr="003A063E">
        <w:rPr>
          <w:rFonts w:ascii="Arial" w:hAnsi="Arial" w:cs="Arial"/>
          <w:bCs/>
          <w:sz w:val="20"/>
          <w:lang w:val="cs-CZ"/>
        </w:rPr>
        <w:t>.</w:t>
      </w:r>
    </w:p>
    <w:p w14:paraId="71F789DA" w14:textId="77777777" w:rsidR="00064119" w:rsidRDefault="00064119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5F1E572D" w14:textId="6E093307" w:rsidR="00BD0C20" w:rsidRDefault="006E255F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47B1D9C5" w14:textId="77777777" w:rsidR="001C3868" w:rsidRDefault="001C3868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70DBD774" w14:textId="77777777" w:rsidR="001C3868" w:rsidRDefault="001C3868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58AA0048" w14:textId="77777777" w:rsidR="00BD0C20" w:rsidRDefault="006E255F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68F824BC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kupina Panasonic je od 1. dubna 2022 holdingem a pod Panasonic Holdings Corporation spadá celkem osm firem. Za rok končící 31. březnem 2022 vykázala tato skupina konsolidované čisté tržby ve výši 59,40 miliardy eur. </w:t>
      </w:r>
    </w:p>
    <w:p w14:paraId="14E57556" w14:textId="5207940F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 České republice se vyrábějí tepelná čerpadla značky Panasonic a portfolio vyráběných produktů se navyšuje. Skupina Panasonic plánuje ve svém plzeňském závodě navyšovat kapacity a do března 2025 v ČR vyrábět až 500 000 tepelných čerpadel ročně.</w:t>
      </w:r>
    </w:p>
    <w:p w14:paraId="59A6867F" w14:textId="40706934" w:rsidR="00BD0C20" w:rsidRDefault="006E255F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3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>
      <w:headerReference w:type="default" r:id="rId14"/>
      <w:footerReference w:type="default" r:id="rId15"/>
      <w:pgSz w:w="11906" w:h="16838"/>
      <w:pgMar w:top="1701" w:right="2691" w:bottom="766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45F8" w14:textId="77777777" w:rsidR="003678EC" w:rsidRDefault="003678EC">
      <w:r>
        <w:separator/>
      </w:r>
    </w:p>
  </w:endnote>
  <w:endnote w:type="continuationSeparator" w:id="0">
    <w:p w14:paraId="4895F0D8" w14:textId="77777777" w:rsidR="003678EC" w:rsidRDefault="003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75B" w14:textId="77777777" w:rsidR="003678EC" w:rsidRDefault="003678EC">
      <w:r>
        <w:separator/>
      </w:r>
    </w:p>
  </w:footnote>
  <w:footnote w:type="continuationSeparator" w:id="0">
    <w:p w14:paraId="39BE0DFC" w14:textId="77777777" w:rsidR="003678EC" w:rsidRDefault="0036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2038855401" name="Picture 203885540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32081196" name="Picture 132081196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10AD4"/>
    <w:rsid w:val="000145F0"/>
    <w:rsid w:val="00020D87"/>
    <w:rsid w:val="00051199"/>
    <w:rsid w:val="00064119"/>
    <w:rsid w:val="000813F1"/>
    <w:rsid w:val="000E299A"/>
    <w:rsid w:val="000F19D8"/>
    <w:rsid w:val="001271F5"/>
    <w:rsid w:val="00133128"/>
    <w:rsid w:val="0016361E"/>
    <w:rsid w:val="001703BA"/>
    <w:rsid w:val="0017319C"/>
    <w:rsid w:val="00183E69"/>
    <w:rsid w:val="001C1564"/>
    <w:rsid w:val="001C3868"/>
    <w:rsid w:val="001F4346"/>
    <w:rsid w:val="00216C72"/>
    <w:rsid w:val="00281401"/>
    <w:rsid w:val="00295BDA"/>
    <w:rsid w:val="002A7923"/>
    <w:rsid w:val="002B2ACC"/>
    <w:rsid w:val="00310F2B"/>
    <w:rsid w:val="00327094"/>
    <w:rsid w:val="003678EC"/>
    <w:rsid w:val="0038069F"/>
    <w:rsid w:val="00385D0B"/>
    <w:rsid w:val="003A063E"/>
    <w:rsid w:val="003C5060"/>
    <w:rsid w:val="003D5ED4"/>
    <w:rsid w:val="00432619"/>
    <w:rsid w:val="0043453A"/>
    <w:rsid w:val="00436752"/>
    <w:rsid w:val="004644EA"/>
    <w:rsid w:val="004975DF"/>
    <w:rsid w:val="004B136C"/>
    <w:rsid w:val="00534B60"/>
    <w:rsid w:val="00553916"/>
    <w:rsid w:val="005820CD"/>
    <w:rsid w:val="005B66D0"/>
    <w:rsid w:val="0069219A"/>
    <w:rsid w:val="006B72CA"/>
    <w:rsid w:val="006E255F"/>
    <w:rsid w:val="006F1723"/>
    <w:rsid w:val="007033F6"/>
    <w:rsid w:val="00721B33"/>
    <w:rsid w:val="007824B1"/>
    <w:rsid w:val="008058A9"/>
    <w:rsid w:val="00817FA1"/>
    <w:rsid w:val="00851853"/>
    <w:rsid w:val="008668B1"/>
    <w:rsid w:val="00876F80"/>
    <w:rsid w:val="008808A1"/>
    <w:rsid w:val="008B27C9"/>
    <w:rsid w:val="008B41E7"/>
    <w:rsid w:val="008B5347"/>
    <w:rsid w:val="008E1B38"/>
    <w:rsid w:val="0098533E"/>
    <w:rsid w:val="00991B2D"/>
    <w:rsid w:val="009E7645"/>
    <w:rsid w:val="00A012FA"/>
    <w:rsid w:val="00A45A52"/>
    <w:rsid w:val="00A57F0B"/>
    <w:rsid w:val="00A84D6F"/>
    <w:rsid w:val="00AC1122"/>
    <w:rsid w:val="00AD48CD"/>
    <w:rsid w:val="00B27BE4"/>
    <w:rsid w:val="00B331AA"/>
    <w:rsid w:val="00B72071"/>
    <w:rsid w:val="00B767C7"/>
    <w:rsid w:val="00BA410C"/>
    <w:rsid w:val="00BD0C20"/>
    <w:rsid w:val="00BF1665"/>
    <w:rsid w:val="00C031A9"/>
    <w:rsid w:val="00C06332"/>
    <w:rsid w:val="00C35BF2"/>
    <w:rsid w:val="00C44679"/>
    <w:rsid w:val="00C64B78"/>
    <w:rsid w:val="00C91E60"/>
    <w:rsid w:val="00CF0962"/>
    <w:rsid w:val="00D13F5C"/>
    <w:rsid w:val="00D47816"/>
    <w:rsid w:val="00D547A1"/>
    <w:rsid w:val="00D87230"/>
    <w:rsid w:val="00DA79BB"/>
    <w:rsid w:val="00E07397"/>
    <w:rsid w:val="00E2073F"/>
    <w:rsid w:val="00E30194"/>
    <w:rsid w:val="00E521A0"/>
    <w:rsid w:val="00EA4199"/>
    <w:rsid w:val="00EB4C6E"/>
    <w:rsid w:val="00ED7A39"/>
    <w:rsid w:val="00F50F0B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ldings.panasonic/glob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ircon.panasoni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or@phoenixcom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anasonic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3</cp:revision>
  <dcterms:created xsi:type="dcterms:W3CDTF">2023-11-08T15:30:00Z</dcterms:created>
  <dcterms:modified xsi:type="dcterms:W3CDTF">2023-11-08T15:30:00Z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