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A7A9" w14:textId="77777777" w:rsidR="006F5B31" w:rsidRDefault="006F5B3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AA2F980" w14:textId="77777777" w:rsidR="006F5B31" w:rsidRDefault="006F5B3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94A8E20" w14:textId="77777777" w:rsidR="006F5B31" w:rsidRDefault="00ED2A55">
      <w:pPr>
        <w:spacing w:line="276" w:lineRule="auto"/>
      </w:pPr>
      <w:proofErr w:type="spellStart"/>
      <w:r>
        <w:rPr>
          <w:rFonts w:ascii="Calibri" w:hAnsi="Calibri" w:cs="Calibri"/>
          <w:b/>
          <w:sz w:val="28"/>
          <w:szCs w:val="28"/>
        </w:rPr>
        <w:t>Social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freezing</w:t>
      </w:r>
      <w:proofErr w:type="spellEnd"/>
      <w:r>
        <w:rPr>
          <w:rFonts w:ascii="Calibri" w:hAnsi="Calibri" w:cs="Calibri"/>
          <w:b/>
          <w:sz w:val="28"/>
          <w:szCs w:val="28"/>
        </w:rPr>
        <w:t>: Volba i jediná možnost pro zachování plodnosti</w:t>
      </w:r>
    </w:p>
    <w:p w14:paraId="0C3B2750" w14:textId="77777777" w:rsidR="006F5B31" w:rsidRDefault="006F5B3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45FD8B1" w14:textId="406A22A2" w:rsidR="006F5B31" w:rsidRDefault="00ED2A55">
      <w:pPr>
        <w:spacing w:line="276" w:lineRule="auto"/>
      </w:pPr>
      <w:r>
        <w:rPr>
          <w:rFonts w:ascii="Calibri" w:hAnsi="Calibri" w:cs="Calibri"/>
          <w:b/>
          <w:sz w:val="22"/>
          <w:szCs w:val="22"/>
        </w:rPr>
        <w:t xml:space="preserve">Odkládání rodičovství je trendem s dlouhodobě stoupající tendencí. Odborníci na reprodukční medicínu ho přitom uvádějí jako jednu z hlavních příčin rostoucího počtu IVF terapií.  Řešením pro zachování plodnosti v pozdějším věku může být i tzv. </w:t>
      </w:r>
      <w:proofErr w:type="spellStart"/>
      <w:r>
        <w:rPr>
          <w:rFonts w:ascii="Calibri" w:hAnsi="Calibri" w:cs="Calibri"/>
          <w:b/>
          <w:sz w:val="22"/>
          <w:szCs w:val="22"/>
        </w:rPr>
        <w:t>social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freezing</w:t>
      </w:r>
      <w:proofErr w:type="spellEnd"/>
      <w:r>
        <w:rPr>
          <w:rFonts w:ascii="Calibri" w:hAnsi="Calibri" w:cs="Calibri"/>
          <w:b/>
          <w:sz w:val="22"/>
          <w:szCs w:val="22"/>
        </w:rPr>
        <w:t>, tedy odběr a zmrazení vlastních pohlavních buněk. Ideální je absolvovat jej co nejdříve, zejména pokud jde o ženy, u kterých kvalita vajíček věkem výrazně klesá. Pacienti s plánovanou onkologickou léčbou mají odběr a kryokonzervaci pohlavních buněk hrazeny z veřejného zdravotního pojištění, a to i v případě, že jej absolvují na soukromé IVF klinice.</w:t>
      </w:r>
    </w:p>
    <w:p w14:paraId="7C08D3B7" w14:textId="77777777" w:rsidR="006F5B31" w:rsidRDefault="006F5B3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9AF1661" w14:textId="77777777" w:rsidR="006F5B31" w:rsidRDefault="00ED2A55">
      <w:pPr>
        <w:spacing w:line="276" w:lineRule="auto"/>
      </w:pPr>
      <w:r>
        <w:rPr>
          <w:rFonts w:ascii="Calibri" w:eastAsia="Calibri" w:hAnsi="Calibri"/>
          <w:sz w:val="22"/>
          <w:szCs w:val="22"/>
          <w:lang w:eastAsia="en-US"/>
        </w:rPr>
        <w:t xml:space="preserve">Tzv.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social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freezing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 žen ve své podstatě odpovídá první fázi léčby neplodnosti. Během hormonální stimulace je růst folikulů ve vaječnících monitorován ultrazvukovým vyšetřením, následně pacientka přichází k odběru vajíček a jejich zmrazení. „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Aby měla žena solidní šanci, že po deseti letech se zamrazenými vajíčky otěhotní, potřebuje jich podle literatury přibližně třicet. Lékař s praxí již odhadne, kolik odběrů bude daná pacientka muset podstoupit a zda je pro ni tato metoda vhodná a také vzhledem k věku možná,“</w:t>
      </w:r>
      <w:r>
        <w:rPr>
          <w:rFonts w:ascii="Calibri" w:eastAsia="Calibri" w:hAnsi="Calibri"/>
          <w:sz w:val="22"/>
          <w:szCs w:val="22"/>
          <w:lang w:eastAsia="en-US"/>
        </w:rPr>
        <w:t xml:space="preserve"> říká </w:t>
      </w:r>
      <w:r>
        <w:rPr>
          <w:rFonts w:ascii="Calibri" w:hAnsi="Calibri" w:cs="Calibri"/>
          <w:b/>
          <w:sz w:val="22"/>
          <w:szCs w:val="22"/>
        </w:rPr>
        <w:t>MUDr. Hana Višňová, vedoucí lékařka pražské kliniky IVF CUBE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4CFA6DAA" w14:textId="77777777" w:rsidR="006F5B31" w:rsidRDefault="006F5B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E4DF849" w14:textId="77777777" w:rsidR="006F5B31" w:rsidRDefault="00ED2A55">
      <w:pPr>
        <w:spacing w:line="276" w:lineRule="auto"/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Na vlastní žádost jen pro samoplátce</w:t>
      </w:r>
    </w:p>
    <w:p w14:paraId="503AE714" w14:textId="35DC5643" w:rsidR="006F5B31" w:rsidRDefault="00ED2A55">
      <w:pPr>
        <w:spacing w:line="276" w:lineRule="auto"/>
      </w:pPr>
      <w:r>
        <w:rPr>
          <w:rFonts w:ascii="Calibri" w:eastAsia="Calibri" w:hAnsi="Calibri"/>
          <w:sz w:val="22"/>
          <w:szCs w:val="22"/>
          <w:lang w:eastAsia="en-US"/>
        </w:rPr>
        <w:t xml:space="preserve">V České republice zatím není metoda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social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freezing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žádána ve velkém a důvodem je také její finanční náročnost. Cena jednoho cyklu včetně léků se totiž pohybuje okolo 35–45 tisíc Kč a na vlastní žádost si ji zájemkyně hradí sama. </w:t>
      </w:r>
      <w:r>
        <w:rPr>
          <w:rFonts w:ascii="Calibri" w:hAnsi="Calibri" w:cs="Calibri"/>
          <w:bCs/>
          <w:sz w:val="22"/>
          <w:szCs w:val="22"/>
        </w:rPr>
        <w:t>Některé firmy dokonce nabízejí svým zaměstnankyním úhradu nákladů spojených se zmrazením vajíček jako firemní benefit. „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Tato možnost může být zajímavá pro mladé ženy, které začínají s budováním kariéry a v období příštích čtyř až pěti let mateřství neplánují. V žádném případě však </w:t>
      </w:r>
      <w:proofErr w:type="spellStart"/>
      <w:r>
        <w:rPr>
          <w:rFonts w:ascii="Calibri" w:hAnsi="Calibri" w:cs="Calibri"/>
          <w:bCs/>
          <w:i/>
          <w:iCs/>
          <w:sz w:val="22"/>
          <w:szCs w:val="22"/>
        </w:rPr>
        <w:t>social</w:t>
      </w:r>
      <w:proofErr w:type="spellEnd"/>
      <w:r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/>
          <w:iCs/>
          <w:sz w:val="22"/>
          <w:szCs w:val="22"/>
        </w:rPr>
        <w:t>freezing</w:t>
      </w:r>
      <w:proofErr w:type="spellEnd"/>
      <w:r>
        <w:rPr>
          <w:rFonts w:ascii="Calibri" w:hAnsi="Calibri" w:cs="Calibri"/>
          <w:bCs/>
          <w:i/>
          <w:iCs/>
          <w:sz w:val="22"/>
          <w:szCs w:val="22"/>
        </w:rPr>
        <w:t xml:space="preserve"> nelze vnímat jako stoprocentně funkční pojistku, se kterou může žena odkládat těhotenství na období po čtyřicítce,“</w:t>
      </w:r>
      <w:r>
        <w:rPr>
          <w:rFonts w:ascii="Calibri" w:hAnsi="Calibri" w:cs="Calibri"/>
          <w:bCs/>
          <w:sz w:val="22"/>
          <w:szCs w:val="22"/>
        </w:rPr>
        <w:t xml:space="preserve"> upozorňuje H.</w:t>
      </w:r>
      <w:r>
        <w:rPr>
          <w:rFonts w:ascii="Calibri" w:eastAsia="Calibri" w:hAnsi="Calibri"/>
          <w:sz w:val="22"/>
          <w:szCs w:val="22"/>
          <w:lang w:eastAsia="en-US"/>
        </w:rPr>
        <w:t xml:space="preserve"> Višňová.</w:t>
      </w:r>
    </w:p>
    <w:p w14:paraId="7EBFCCF1" w14:textId="77777777" w:rsidR="006F5B31" w:rsidRDefault="006F5B31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1F264239" w14:textId="77777777" w:rsidR="006F5B31" w:rsidRDefault="00ED2A55">
      <w:pPr>
        <w:spacing w:line="276" w:lineRule="auto"/>
      </w:pPr>
      <w:r>
        <w:rPr>
          <w:rFonts w:ascii="Calibri" w:hAnsi="Calibri" w:cs="Calibri"/>
          <w:b/>
          <w:sz w:val="22"/>
          <w:szCs w:val="22"/>
        </w:rPr>
        <w:t>Onkologičtí pacienti mají výjimku</w:t>
      </w:r>
    </w:p>
    <w:p w14:paraId="19C7442D" w14:textId="06D0655C" w:rsidR="006F5B31" w:rsidRDefault="00ED2A55">
      <w:pPr>
        <w:spacing w:line="276" w:lineRule="auto"/>
      </w:pPr>
      <w:r>
        <w:rPr>
          <w:rFonts w:ascii="Calibri" w:hAnsi="Calibri" w:cs="Calibri"/>
          <w:bCs/>
          <w:sz w:val="22"/>
          <w:szCs w:val="22"/>
        </w:rPr>
        <w:t xml:space="preserve">Rozhodnutí o zmrazení vlastních pohlavních buněk však nemusí být jen výsledkem pragmatického plánování kariéry či osobního života. Čím dál častěji </w:t>
      </w:r>
      <w:r>
        <w:rPr>
          <w:rFonts w:ascii="Calibri" w:eastAsia="Calibri" w:hAnsi="Calibri"/>
          <w:sz w:val="22"/>
          <w:szCs w:val="22"/>
          <w:lang w:eastAsia="en-US"/>
        </w:rPr>
        <w:t>ho využívají také páry nebo jednotlivci, kteří mají zdravotní indikaci, např. onkologické onemocnění.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„</w:t>
      </w:r>
      <w:r w:rsidR="000F7DE5" w:rsidRPr="00ED2A55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 xml:space="preserve">Budoucí </w:t>
      </w:r>
      <w:r w:rsidR="000F7DE5">
        <w:rPr>
          <w:rFonts w:ascii="Calibri" w:eastAsia="Calibri" w:hAnsi="Calibri"/>
          <w:i/>
          <w:iCs/>
          <w:sz w:val="22"/>
          <w:szCs w:val="22"/>
          <w:lang w:eastAsia="en-US"/>
        </w:rPr>
        <w:t>p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lodnost onkologických pacientů může ohrozit buď samotný nádor přímo poškozující reprodukční orgány, </w:t>
      </w:r>
      <w:r w:rsidR="000F7DE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nebo plánová léčba. </w:t>
      </w:r>
      <w:r w:rsidR="008F1150">
        <w:rPr>
          <w:rFonts w:ascii="Calibri" w:eastAsia="Calibri" w:hAnsi="Calibri"/>
          <w:i/>
          <w:iCs/>
          <w:sz w:val="22"/>
          <w:szCs w:val="22"/>
          <w:lang w:eastAsia="en-US"/>
        </w:rPr>
        <w:t>Také s</w:t>
      </w:r>
      <w:r w:rsidR="000F7DE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amotná délka onkologické terapie, která často trvá 5-10 let, způsobí odložení rodičovství do vyššího věku, kdy plodnost </w:t>
      </w:r>
      <w:r w:rsidR="008F1150">
        <w:rPr>
          <w:rFonts w:ascii="Calibri" w:eastAsia="Calibri" w:hAnsi="Calibri"/>
          <w:i/>
          <w:iCs/>
          <w:sz w:val="22"/>
          <w:szCs w:val="22"/>
          <w:lang w:eastAsia="en-US"/>
        </w:rPr>
        <w:t>významně klesá.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“ </w:t>
      </w:r>
      <w:r>
        <w:rPr>
          <w:rFonts w:ascii="Calibri" w:eastAsia="Calibri" w:hAnsi="Calibri"/>
          <w:sz w:val="22"/>
          <w:szCs w:val="22"/>
          <w:lang w:eastAsia="en-US"/>
        </w:rPr>
        <w:t xml:space="preserve">vysvětluje H. Višňová. Dobrá zpráva je, že od začátku roku náklady na odběr pohlavních buněk (včetně hormonální stimulace u žen) a jejich kryokonzervaci u onkologických pacientů hradí zdravotní pojišťovna. Ta proplácí i náklady na jejich následné uchování, a to po dobu nejdéle deseti let. </w:t>
      </w:r>
    </w:p>
    <w:p w14:paraId="0C8F200F" w14:textId="77777777" w:rsidR="006F5B31" w:rsidRDefault="006F5B31">
      <w:pPr>
        <w:pStyle w:val="Normlnweb"/>
        <w:spacing w:beforeAutospacing="0" w:afterAutospacing="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652CF7" w14:textId="2658FAA3" w:rsidR="006F5B31" w:rsidRDefault="00ED2A55">
      <w:pPr>
        <w:spacing w:line="276" w:lineRule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Rozhoduje čas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r>
        <w:rPr>
          <w:rFonts w:ascii="Calibri" w:hAnsi="Calibri" w:cs="Calibri"/>
          <w:bCs/>
          <w:sz w:val="22"/>
          <w:szCs w:val="22"/>
        </w:rPr>
        <w:t>Tak jako je plodnost biologicky limitovaná věkem, i při metodě „</w:t>
      </w:r>
      <w:proofErr w:type="spellStart"/>
      <w:r>
        <w:rPr>
          <w:rFonts w:ascii="Calibri" w:hAnsi="Calibri" w:cs="Calibri"/>
          <w:bCs/>
          <w:sz w:val="22"/>
          <w:szCs w:val="22"/>
        </w:rPr>
        <w:t>social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freezing</w:t>
      </w:r>
      <w:proofErr w:type="spellEnd"/>
      <w:r>
        <w:rPr>
          <w:rFonts w:ascii="Calibri" w:hAnsi="Calibri" w:cs="Calibri"/>
          <w:bCs/>
          <w:sz w:val="22"/>
          <w:szCs w:val="22"/>
        </w:rPr>
        <w:t>“ platí, že o úspěšnosti rozhoduje správné načasování. „</w:t>
      </w:r>
      <w:r>
        <w:rPr>
          <w:rFonts w:ascii="Calibri" w:hAnsi="Calibri" w:cs="Calibri"/>
          <w:bCs/>
          <w:i/>
          <w:iCs/>
          <w:sz w:val="22"/>
          <w:szCs w:val="22"/>
        </w:rPr>
        <w:t>U žen je ideální odebrat vajíčka před třicátým rokem života, později metoda z medicínského hlediska ztrácí smysl. Ačkoli teoreticky mohou být zmrazena i více než deset let, těhotenství není vhodné odkládat příliš dlouho, jinak může pro ženu představovat velké zdravotní riziko. Jednoduše, ženské tělo není fyziologicky stavěno na porody ve vysokém věku,“</w:t>
      </w:r>
      <w:r>
        <w:rPr>
          <w:rFonts w:ascii="Calibri" w:hAnsi="Calibri" w:cs="Calibri"/>
          <w:bCs/>
          <w:sz w:val="22"/>
          <w:szCs w:val="22"/>
        </w:rPr>
        <w:t xml:space="preserve"> vysvětluje H. Višňová.  Pokud jde o onkologické pacientky, postup je potřeba konzultovat s odborníky z onkologie i reprodukční medicíny. 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„Hormonální stimulace s odběrem vajíček zabere přibližně dva </w:t>
      </w:r>
      <w:r w:rsidR="008F1150">
        <w:rPr>
          <w:rFonts w:ascii="Calibri" w:hAnsi="Calibri" w:cs="Calibri"/>
          <w:bCs/>
          <w:i/>
          <w:iCs/>
          <w:sz w:val="22"/>
          <w:szCs w:val="22"/>
        </w:rPr>
        <w:t xml:space="preserve">týdny a může vyžadovat 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odklad samotné </w:t>
      </w:r>
      <w:r w:rsidR="008F1150">
        <w:rPr>
          <w:rFonts w:ascii="Calibri" w:hAnsi="Calibri" w:cs="Calibri"/>
          <w:bCs/>
          <w:i/>
          <w:iCs/>
          <w:sz w:val="22"/>
          <w:szCs w:val="22"/>
        </w:rPr>
        <w:t xml:space="preserve">onkologické </w:t>
      </w:r>
      <w:r>
        <w:rPr>
          <w:rFonts w:ascii="Calibri" w:hAnsi="Calibri" w:cs="Calibri"/>
          <w:bCs/>
          <w:i/>
          <w:iCs/>
          <w:sz w:val="22"/>
          <w:szCs w:val="22"/>
        </w:rPr>
        <w:t>léčby. Proto není vhodné odkládat konzultaci a je třeba přijít se poradit co nejdříve,“</w:t>
      </w:r>
      <w:r>
        <w:rPr>
          <w:rFonts w:ascii="Calibri" w:hAnsi="Calibri" w:cs="Calibri"/>
          <w:bCs/>
          <w:sz w:val="22"/>
          <w:szCs w:val="22"/>
        </w:rPr>
        <w:t xml:space="preserve"> říká H. Višňová</w:t>
      </w:r>
      <w:r w:rsidR="008F1150">
        <w:rPr>
          <w:rFonts w:ascii="Calibri" w:hAnsi="Calibri" w:cs="Calibri"/>
          <w:bCs/>
          <w:sz w:val="22"/>
          <w:szCs w:val="22"/>
        </w:rPr>
        <w:t>.</w:t>
      </w:r>
    </w:p>
    <w:p w14:paraId="7D7AB11B" w14:textId="77777777" w:rsidR="006F5B31" w:rsidRDefault="006F5B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E94D8B" w14:textId="77777777" w:rsidR="006F5B31" w:rsidRDefault="006F5B31">
      <w:pPr>
        <w:spacing w:line="276" w:lineRule="auto"/>
      </w:pPr>
    </w:p>
    <w:sectPr w:rsidR="006F5B31">
      <w:headerReference w:type="default" r:id="rId9"/>
      <w:footerReference w:type="default" r:id="rId10"/>
      <w:pgSz w:w="11906" w:h="16838"/>
      <w:pgMar w:top="1499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2254" w14:textId="77777777" w:rsidR="00935FB4" w:rsidRDefault="00935FB4">
      <w:r>
        <w:separator/>
      </w:r>
    </w:p>
  </w:endnote>
  <w:endnote w:type="continuationSeparator" w:id="0">
    <w:p w14:paraId="1934DA0B" w14:textId="77777777" w:rsidR="00935FB4" w:rsidRDefault="0093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CE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29EA" w14:textId="77777777" w:rsidR="006F5B31" w:rsidRDefault="00ED2A55">
    <w:pPr>
      <w:pStyle w:val="Zpat"/>
      <w:spacing w:before="60"/>
      <w:jc w:val="center"/>
    </w:pPr>
    <w:r>
      <w:rPr>
        <w:rStyle w:val="slostrnky"/>
        <w:rFonts w:ascii="Arial" w:hAnsi="Arial" w:cs="Arial"/>
        <w:sz w:val="16"/>
        <w:szCs w:val="16"/>
      </w:rPr>
      <w:t xml:space="preserve">Kontakt pro média: Eva Kašparová, Phoenix </w:t>
    </w:r>
    <w:proofErr w:type="spellStart"/>
    <w:r>
      <w:rPr>
        <w:rStyle w:val="slostrnky"/>
        <w:rFonts w:ascii="Arial" w:hAnsi="Arial" w:cs="Arial"/>
        <w:sz w:val="16"/>
        <w:szCs w:val="16"/>
      </w:rPr>
      <w:t>Communication</w:t>
    </w:r>
    <w:proofErr w:type="spellEnd"/>
    <w:r>
      <w:rPr>
        <w:rStyle w:val="slostrnky"/>
        <w:rFonts w:ascii="Arial" w:hAnsi="Arial" w:cs="Arial"/>
        <w:sz w:val="16"/>
        <w:szCs w:val="16"/>
      </w:rPr>
      <w:t>, a.s., MT: 608 678 581, eva@phoenixcom.cz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F6A1" w14:textId="77777777" w:rsidR="00935FB4" w:rsidRDefault="00935FB4">
      <w:r>
        <w:separator/>
      </w:r>
    </w:p>
  </w:footnote>
  <w:footnote w:type="continuationSeparator" w:id="0">
    <w:p w14:paraId="7BD48379" w14:textId="77777777" w:rsidR="00935FB4" w:rsidRDefault="0093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6FE9" w14:textId="77777777" w:rsidR="006F5B31" w:rsidRDefault="00ED2A55">
    <w:pPr>
      <w:pStyle w:val="Zhlav"/>
      <w:ind w:left="426"/>
      <w:jc w:val="right"/>
      <w:rPr>
        <w:rFonts w:ascii="Arial" w:hAnsi="Arial" w:cs="FrutigerCE-Bold"/>
        <w:b/>
        <w:bCs/>
        <w:color w:val="7F7F7F"/>
        <w:sz w:val="18"/>
        <w:szCs w:val="18"/>
        <w:lang w:eastAsia="en-US"/>
      </w:rPr>
    </w:pPr>
    <w:r>
      <w:rPr>
        <w:rFonts w:ascii="Arial" w:hAnsi="Arial" w:cs="FrutigerCE-Bold"/>
        <w:b/>
        <w:bCs/>
        <w:noProof/>
        <w:color w:val="7F7F7F"/>
        <w:sz w:val="18"/>
        <w:szCs w:val="18"/>
        <w:lang w:eastAsia="en-US"/>
      </w:rPr>
      <w:drawing>
        <wp:anchor distT="0" distB="0" distL="0" distR="0" simplePos="0" relativeHeight="3" behindDoc="1" locked="0" layoutInCell="0" allowOverlap="1" wp14:anchorId="767EA43C" wp14:editId="736F77FF">
          <wp:simplePos x="0" y="0"/>
          <wp:positionH relativeFrom="column">
            <wp:posOffset>-620395</wp:posOffset>
          </wp:positionH>
          <wp:positionV relativeFrom="paragraph">
            <wp:posOffset>-87630</wp:posOffset>
          </wp:positionV>
          <wp:extent cx="1544955" cy="13322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1332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7654" w:type="dxa"/>
      <w:tblInd w:w="2093" w:type="dxa"/>
      <w:tblLayout w:type="fixed"/>
      <w:tblLook w:val="04A0" w:firstRow="1" w:lastRow="0" w:firstColumn="1" w:lastColumn="0" w:noHBand="0" w:noVBand="1"/>
    </w:tblPr>
    <w:tblGrid>
      <w:gridCol w:w="3684"/>
      <w:gridCol w:w="3970"/>
    </w:tblGrid>
    <w:tr w:rsidR="006F5B31" w14:paraId="2996B020" w14:textId="77777777">
      <w:trPr>
        <w:trHeight w:val="1355"/>
      </w:trPr>
      <w:tc>
        <w:tcPr>
          <w:tcW w:w="3684" w:type="dxa"/>
          <w:tcBorders>
            <w:bottom w:val="single" w:sz="12" w:space="0" w:color="7F7F7F"/>
          </w:tcBorders>
        </w:tcPr>
        <w:p w14:paraId="7D692591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45D3297B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50EB2C9F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691BC0E7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68C44265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</w:tc>
      <w:tc>
        <w:tcPr>
          <w:tcW w:w="3969" w:type="dxa"/>
          <w:tcBorders>
            <w:bottom w:val="single" w:sz="12" w:space="0" w:color="7F7F7F"/>
          </w:tcBorders>
        </w:tcPr>
        <w:p w14:paraId="4C340CC9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03DB4AAC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0ECC5F2F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516C587A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448B2852" w14:textId="77777777" w:rsidR="006F5B31" w:rsidRDefault="00ED2A55">
          <w:pPr>
            <w:pStyle w:val="Zhlav"/>
            <w:widowControl w:val="0"/>
            <w:jc w:val="right"/>
            <w:rPr>
              <w:rFonts w:ascii="Arial" w:hAnsi="Arial"/>
              <w:color w:val="595959"/>
              <w:sz w:val="22"/>
              <w:szCs w:val="22"/>
            </w:rPr>
          </w:pPr>
          <w:r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  <w:t>TISKOVÁ ZPRÁVA</w:t>
          </w:r>
        </w:p>
      </w:tc>
    </w:tr>
  </w:tbl>
  <w:p w14:paraId="14EF8967" w14:textId="77777777" w:rsidR="006F5B31" w:rsidRDefault="006F5B31">
    <w:pPr>
      <w:tabs>
        <w:tab w:val="left" w:pos="26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31"/>
    <w:rsid w:val="000D488B"/>
    <w:rsid w:val="000F7DE5"/>
    <w:rsid w:val="006F5B31"/>
    <w:rsid w:val="00793C98"/>
    <w:rsid w:val="008F1150"/>
    <w:rsid w:val="00935FB4"/>
    <w:rsid w:val="00A1460E"/>
    <w:rsid w:val="00E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A6E3"/>
  <w15:docId w15:val="{671B751F-B56A-4A75-B95F-D84BBD2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CA7"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8E23A3"/>
    <w:pPr>
      <w:keepNext/>
      <w:tabs>
        <w:tab w:val="left" w:pos="4395"/>
      </w:tabs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8E23A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E23A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851" w:right="-1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E23A3"/>
    <w:pPr>
      <w:keepNext/>
      <w:ind w:left="-851" w:right="-1"/>
      <w:jc w:val="both"/>
      <w:outlineLvl w:val="3"/>
    </w:pPr>
    <w:rPr>
      <w:b/>
      <w:bCs/>
      <w:sz w:val="22"/>
      <w:szCs w:val="22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8E23A3"/>
    <w:pPr>
      <w:keepNext/>
      <w:ind w:left="-851" w:right="-1"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8E23A3"/>
    <w:pPr>
      <w:keepNext/>
      <w:ind w:left="-709" w:right="-1"/>
      <w:jc w:val="both"/>
      <w:outlineLvl w:val="5"/>
    </w:pPr>
    <w:rPr>
      <w:b/>
      <w:bCs/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8E23A3"/>
    <w:pPr>
      <w:keepNext/>
      <w:jc w:val="both"/>
      <w:outlineLvl w:val="6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682C3F"/>
    <w:rPr>
      <w:rFonts w:ascii="Cambria" w:hAnsi="Cambria" w:cs="Cambria"/>
      <w:b/>
      <w:bCs/>
      <w:kern w:val="2"/>
      <w:sz w:val="32"/>
      <w:szCs w:val="32"/>
      <w:lang w:eastAsia="de-DE"/>
    </w:rPr>
  </w:style>
  <w:style w:type="character" w:customStyle="1" w:styleId="Nadpis2Char">
    <w:name w:val="Nadpis 2 Char"/>
    <w:link w:val="Nadpis2"/>
    <w:uiPriority w:val="99"/>
    <w:semiHidden/>
    <w:qFormat/>
    <w:locked/>
    <w:rsid w:val="00682C3F"/>
    <w:rPr>
      <w:rFonts w:ascii="Cambria" w:hAnsi="Cambria" w:cs="Cambria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link w:val="Nadpis3"/>
    <w:uiPriority w:val="99"/>
    <w:semiHidden/>
    <w:qFormat/>
    <w:locked/>
    <w:rsid w:val="00682C3F"/>
    <w:rPr>
      <w:rFonts w:ascii="Cambria" w:hAnsi="Cambria" w:cs="Cambria"/>
      <w:b/>
      <w:bCs/>
      <w:sz w:val="26"/>
      <w:szCs w:val="26"/>
      <w:lang w:eastAsia="de-DE"/>
    </w:rPr>
  </w:style>
  <w:style w:type="character" w:customStyle="1" w:styleId="Nadpis4Char">
    <w:name w:val="Nadpis 4 Char"/>
    <w:link w:val="Nadpis4"/>
    <w:uiPriority w:val="99"/>
    <w:semiHidden/>
    <w:qFormat/>
    <w:locked/>
    <w:rsid w:val="00682C3F"/>
    <w:rPr>
      <w:rFonts w:ascii="Calibri" w:hAnsi="Calibri" w:cs="Calibri"/>
      <w:b/>
      <w:bCs/>
      <w:sz w:val="28"/>
      <w:szCs w:val="28"/>
      <w:lang w:eastAsia="de-DE"/>
    </w:rPr>
  </w:style>
  <w:style w:type="character" w:customStyle="1" w:styleId="Nadpis5Char">
    <w:name w:val="Nadpis 5 Char"/>
    <w:link w:val="Nadpis5"/>
    <w:uiPriority w:val="99"/>
    <w:semiHidden/>
    <w:qFormat/>
    <w:locked/>
    <w:rsid w:val="00682C3F"/>
    <w:rPr>
      <w:rFonts w:ascii="Calibri" w:hAnsi="Calibri" w:cs="Calibri"/>
      <w:b/>
      <w:bCs/>
      <w:i/>
      <w:iCs/>
      <w:sz w:val="26"/>
      <w:szCs w:val="26"/>
      <w:lang w:eastAsia="de-DE"/>
    </w:rPr>
  </w:style>
  <w:style w:type="character" w:customStyle="1" w:styleId="Nadpis6Char">
    <w:name w:val="Nadpis 6 Char"/>
    <w:link w:val="Nadpis6"/>
    <w:uiPriority w:val="99"/>
    <w:semiHidden/>
    <w:qFormat/>
    <w:locked/>
    <w:rsid w:val="00682C3F"/>
    <w:rPr>
      <w:rFonts w:ascii="Calibri" w:hAnsi="Calibri" w:cs="Calibri"/>
      <w:b/>
      <w:bCs/>
      <w:lang w:eastAsia="de-DE"/>
    </w:rPr>
  </w:style>
  <w:style w:type="character" w:customStyle="1" w:styleId="Nadpis7Char">
    <w:name w:val="Nadpis 7 Char"/>
    <w:link w:val="Nadpis7"/>
    <w:uiPriority w:val="99"/>
    <w:semiHidden/>
    <w:qFormat/>
    <w:locked/>
    <w:rsid w:val="00682C3F"/>
    <w:rPr>
      <w:rFonts w:ascii="Calibri" w:hAnsi="Calibri" w:cs="Calibri"/>
      <w:sz w:val="24"/>
      <w:szCs w:val="24"/>
      <w:lang w:eastAsia="de-DE"/>
    </w:rPr>
  </w:style>
  <w:style w:type="character" w:customStyle="1" w:styleId="ZhlavChar">
    <w:name w:val="Záhlaví Char"/>
    <w:link w:val="Zhlav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patChar">
    <w:name w:val="Zápatí Char"/>
    <w:link w:val="Zpat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3Char">
    <w:name w:val="Základní text odsazený 3 Char"/>
    <w:link w:val="Zkladntextodsazen3"/>
    <w:uiPriority w:val="99"/>
    <w:semiHidden/>
    <w:qFormat/>
    <w:locked/>
    <w:rsid w:val="00682C3F"/>
    <w:rPr>
      <w:sz w:val="16"/>
      <w:szCs w:val="16"/>
      <w:lang w:eastAsia="de-DE"/>
    </w:rPr>
  </w:style>
  <w:style w:type="character" w:customStyle="1" w:styleId="Internetovodkaz">
    <w:name w:val="Internetový odkaz"/>
    <w:uiPriority w:val="99"/>
    <w:rsid w:val="008E23A3"/>
    <w:rPr>
      <w:color w:val="0000FF"/>
      <w:u w:val="single"/>
    </w:rPr>
  </w:style>
  <w:style w:type="character" w:customStyle="1" w:styleId="Navtveninternetovodkaz">
    <w:name w:val="Navštívený internetový odkaz"/>
    <w:uiPriority w:val="99"/>
    <w:rsid w:val="008E23A3"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682C3F"/>
    <w:rPr>
      <w:sz w:val="2"/>
      <w:szCs w:val="2"/>
      <w:lang w:eastAsia="de-DE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682C3F"/>
    <w:rPr>
      <w:sz w:val="20"/>
      <w:szCs w:val="20"/>
      <w:lang w:eastAsia="de-DE"/>
    </w:rPr>
  </w:style>
  <w:style w:type="character" w:styleId="slostrnky">
    <w:name w:val="page number"/>
    <w:basedOn w:val="Standardnpsmoodstavce"/>
    <w:uiPriority w:val="99"/>
    <w:qFormat/>
    <w:rsid w:val="008E23A3"/>
  </w:style>
  <w:style w:type="character" w:customStyle="1" w:styleId="apple-converted-space">
    <w:name w:val="apple-converted-space"/>
    <w:basedOn w:val="Standardnpsmoodstavce"/>
    <w:qFormat/>
    <w:rsid w:val="003D6017"/>
  </w:style>
  <w:style w:type="character" w:customStyle="1" w:styleId="OdstavecsouhlasslbouChar">
    <w:name w:val="Odstavec_souhlas_s_léčbou Char"/>
    <w:link w:val="Odstavecsouhlasslbou"/>
    <w:qFormat/>
    <w:rsid w:val="00A5516C"/>
    <w:rPr>
      <w:rFonts w:ascii="Verdana" w:hAnsi="Verdana"/>
      <w:sz w:val="18"/>
      <w:szCs w:val="18"/>
      <w:lang w:eastAsia="de-DE"/>
    </w:rPr>
  </w:style>
  <w:style w:type="character" w:styleId="Odkaznakoment">
    <w:name w:val="annotation reference"/>
    <w:uiPriority w:val="99"/>
    <w:semiHidden/>
    <w:unhideWhenUsed/>
    <w:qFormat/>
    <w:rsid w:val="00BA6ED9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BA6ED9"/>
    <w:rPr>
      <w:lang w:eastAsia="de-DE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BA6ED9"/>
    <w:rPr>
      <w:b/>
      <w:bCs/>
      <w:lang w:eastAsia="de-DE"/>
    </w:rPr>
  </w:style>
  <w:style w:type="character" w:styleId="Zdraznn">
    <w:name w:val="Emphasis"/>
    <w:uiPriority w:val="20"/>
    <w:qFormat/>
    <w:locked/>
    <w:rsid w:val="006A6585"/>
    <w:rPr>
      <w:i/>
      <w:iCs/>
    </w:rPr>
  </w:style>
  <w:style w:type="character" w:customStyle="1" w:styleId="tlid-translation">
    <w:name w:val="tlid-translation"/>
    <w:qFormat/>
    <w:rsid w:val="00FA0429"/>
  </w:style>
  <w:style w:type="character" w:styleId="Nevyeenzmnka">
    <w:name w:val="Unresolved Mention"/>
    <w:uiPriority w:val="99"/>
    <w:semiHidden/>
    <w:unhideWhenUsed/>
    <w:qFormat/>
    <w:rsid w:val="0065321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716CA7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E23A3"/>
    <w:pPr>
      <w:tabs>
        <w:tab w:val="left" w:pos="2268"/>
      </w:tabs>
      <w:jc w:val="both"/>
    </w:pPr>
    <w:rPr>
      <w:sz w:val="22"/>
      <w:szCs w:val="2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8E23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E23A3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uiPriority w:val="99"/>
    <w:qFormat/>
    <w:rsid w:val="008E23A3"/>
    <w:pPr>
      <w:ind w:left="-567" w:right="-852" w:firstLine="567"/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8E23A3"/>
    <w:pPr>
      <w:ind w:left="284" w:hanging="284"/>
      <w:jc w:val="both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qFormat/>
    <w:rsid w:val="008E23A3"/>
    <w:pPr>
      <w:ind w:left="708" w:firstLine="424"/>
      <w:jc w:val="both"/>
    </w:pPr>
  </w:style>
  <w:style w:type="paragraph" w:styleId="Zkladntextodsazen3">
    <w:name w:val="Body Text Indent 3"/>
    <w:basedOn w:val="Normln"/>
    <w:link w:val="Zkladntextodsazen3Char"/>
    <w:uiPriority w:val="99"/>
    <w:qFormat/>
    <w:rsid w:val="008E23A3"/>
    <w:pPr>
      <w:ind w:left="285" w:hanging="284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qFormat/>
    <w:rsid w:val="008E23A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qFormat/>
    <w:rsid w:val="008E23A3"/>
    <w:pPr>
      <w:ind w:right="-1"/>
      <w:jc w:val="both"/>
    </w:pPr>
    <w:rPr>
      <w:sz w:val="22"/>
      <w:szCs w:val="22"/>
    </w:rPr>
  </w:style>
  <w:style w:type="paragraph" w:customStyle="1" w:styleId="Textkrper-Einzug21">
    <w:name w:val="Textkörper-Einzug 21"/>
    <w:basedOn w:val="Normln"/>
    <w:uiPriority w:val="99"/>
    <w:qFormat/>
    <w:rsid w:val="008E23A3"/>
    <w:pPr>
      <w:ind w:left="708" w:firstLine="424"/>
      <w:jc w:val="both"/>
    </w:pPr>
    <w:rPr>
      <w:lang w:eastAsia="ar-SA"/>
    </w:rPr>
  </w:style>
  <w:style w:type="paragraph" w:customStyle="1" w:styleId="Textkrper-Einzug31">
    <w:name w:val="Textkörper-Einzug 31"/>
    <w:basedOn w:val="Normln"/>
    <w:uiPriority w:val="99"/>
    <w:qFormat/>
    <w:rsid w:val="008E23A3"/>
    <w:pPr>
      <w:ind w:left="285" w:hanging="284"/>
      <w:jc w:val="both"/>
    </w:pPr>
    <w:rPr>
      <w:sz w:val="22"/>
      <w:szCs w:val="22"/>
      <w:lang w:eastAsia="ar-SA"/>
    </w:rPr>
  </w:style>
  <w:style w:type="paragraph" w:customStyle="1" w:styleId="Blocktext2">
    <w:name w:val="Blocktext2"/>
    <w:basedOn w:val="Normln"/>
    <w:uiPriority w:val="99"/>
    <w:qFormat/>
    <w:rsid w:val="008E23A3"/>
    <w:pPr>
      <w:ind w:left="-567" w:right="-852" w:firstLine="567"/>
      <w:jc w:val="both"/>
    </w:pPr>
    <w:rPr>
      <w:sz w:val="22"/>
      <w:szCs w:val="22"/>
      <w:lang w:eastAsia="ar-SA"/>
    </w:rPr>
  </w:style>
  <w:style w:type="paragraph" w:customStyle="1" w:styleId="Textkrper22">
    <w:name w:val="Textkörper 22"/>
    <w:basedOn w:val="Normln"/>
    <w:uiPriority w:val="99"/>
    <w:qFormat/>
    <w:rsid w:val="008E23A3"/>
    <w:pPr>
      <w:ind w:right="-1"/>
      <w:jc w:val="both"/>
    </w:pPr>
    <w:rPr>
      <w:sz w:val="22"/>
      <w:szCs w:val="22"/>
      <w:lang w:eastAsia="ar-SA"/>
    </w:rPr>
  </w:style>
  <w:style w:type="paragraph" w:customStyle="1" w:styleId="Odstavecsouhlasslbou">
    <w:name w:val="Odstavec_souhlas_s_léčbou"/>
    <w:basedOn w:val="Normln"/>
    <w:link w:val="OdstavecsouhlasslbouChar"/>
    <w:qFormat/>
    <w:rsid w:val="00A5516C"/>
    <w:pPr>
      <w:spacing w:after="60" w:line="288" w:lineRule="auto"/>
      <w:jc w:val="both"/>
    </w:pPr>
    <w:rPr>
      <w:rFonts w:ascii="Verdana" w:hAnsi="Verdan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676E"/>
    <w:pPr>
      <w:ind w:left="708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A6E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A6ED9"/>
    <w:rPr>
      <w:b/>
      <w:bCs/>
    </w:rPr>
  </w:style>
  <w:style w:type="paragraph" w:styleId="Revize">
    <w:name w:val="Revision"/>
    <w:uiPriority w:val="99"/>
    <w:semiHidden/>
    <w:qFormat/>
    <w:rsid w:val="00D465D5"/>
    <w:rPr>
      <w:sz w:val="24"/>
      <w:szCs w:val="24"/>
      <w:lang w:eastAsia="de-DE"/>
    </w:rPr>
  </w:style>
  <w:style w:type="paragraph" w:styleId="Normlnweb">
    <w:name w:val="Normal (Web)"/>
    <w:basedOn w:val="Normln"/>
    <w:uiPriority w:val="99"/>
    <w:unhideWhenUsed/>
    <w:qFormat/>
    <w:rsid w:val="00716CA7"/>
    <w:pPr>
      <w:spacing w:beforeAutospacing="1" w:afterAutospacing="1"/>
    </w:pPr>
    <w:rPr>
      <w:lang w:eastAsia="sk-SK"/>
    </w:rPr>
  </w:style>
  <w:style w:type="table" w:styleId="Mkatabulky">
    <w:name w:val="Table Grid"/>
    <w:basedOn w:val="Normlntabulka"/>
    <w:uiPriority w:val="99"/>
    <w:rsid w:val="008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55EE7F04B83743835C43FF32AD603B" ma:contentTypeVersion="2" ma:contentTypeDescription="Vytvoří nový dokument" ma:contentTypeScope="" ma:versionID="60b580165dc0f32ae1ec00e152497b4e">
  <xsd:schema xmlns:xsd="http://www.w3.org/2001/XMLSchema" xmlns:xs="http://www.w3.org/2001/XMLSchema" xmlns:p="http://schemas.microsoft.com/office/2006/metadata/properties" xmlns:ns3="c1a25730-b83c-4b12-90d3-e9c6ecc642f5" targetNamespace="http://schemas.microsoft.com/office/2006/metadata/properties" ma:root="true" ma:fieldsID="84a645a2d02a879a950139ea21bb0d9d" ns3:_="">
    <xsd:import namespace="c1a25730-b83c-4b12-90d3-e9c6ecc64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5730-b83c-4b12-90d3-e9c6ecc6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1B8AF-9291-4420-AC13-1351CA219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9A8ED-3C6A-4B7E-90E9-C64C71044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2EC80-6D70-4E79-8D53-583F4A684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25730-b83c-4b12-90d3-e9c6ecc6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IVF CUBE</vt:lpstr>
    </vt:vector>
  </TitlesOfParts>
  <Company>Ordination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IVF CUBE</dc:title>
  <dc:subject/>
  <dc:creator>Hana</dc:creator>
  <dc:description/>
  <cp:lastModifiedBy>Ing. Ondrej Sebestik - IVF CUBE</cp:lastModifiedBy>
  <cp:revision>2</cp:revision>
  <cp:lastPrinted>2022-04-21T14:54:00Z</cp:lastPrinted>
  <dcterms:created xsi:type="dcterms:W3CDTF">2022-06-08T08:38:00Z</dcterms:created>
  <dcterms:modified xsi:type="dcterms:W3CDTF">2022-06-08T08:38:00Z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0x010100CB55EE7F04B83743835C43FF32AD603B</vt:lpwstr>
  </property>
</Properties>
</file>